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3D" w:rsidRDefault="0020493D" w:rsidP="0020493D">
      <w:pPr>
        <w:tabs>
          <w:tab w:val="left" w:pos="5103"/>
        </w:tabs>
        <w:ind w:left="5103"/>
        <w:jc w:val="both"/>
        <w:rPr>
          <w:rFonts w:ascii="TimesLT" w:hAnsi="TimesLT"/>
        </w:rPr>
      </w:pPr>
      <w:bookmarkStart w:id="0" w:name="_GoBack"/>
      <w:bookmarkEnd w:id="0"/>
      <w:r w:rsidRPr="0020493D">
        <w:rPr>
          <w:rFonts w:ascii="TimesLT" w:hAnsi="TimesLT"/>
        </w:rPr>
        <w:t>Plungės rajono savivaldybės ir jos viešojo sektoriaus subjektų metinių veiklos ataskaitų, metinių ataskaitų rinkinių rengimo, teikimo tvirtini</w:t>
      </w:r>
      <w:r>
        <w:rPr>
          <w:rFonts w:ascii="TimesLT" w:hAnsi="TimesLT"/>
        </w:rPr>
        <w:t>mui ir paskelbimo tvarkos aprašo</w:t>
      </w:r>
      <w:r w:rsidRPr="0020493D">
        <w:rPr>
          <w:rFonts w:ascii="TimesLT" w:hAnsi="TimesLT"/>
        </w:rPr>
        <w:t xml:space="preserve"> </w:t>
      </w:r>
    </w:p>
    <w:p w:rsidR="00195F28" w:rsidRDefault="00A260DC" w:rsidP="00D0477B">
      <w:pPr>
        <w:tabs>
          <w:tab w:val="left" w:pos="5103"/>
        </w:tabs>
        <w:ind w:left="5040"/>
        <w:jc w:val="both"/>
        <w:rPr>
          <w:szCs w:val="24"/>
        </w:rPr>
      </w:pPr>
      <w:r>
        <w:rPr>
          <w:szCs w:val="24"/>
        </w:rPr>
        <w:t>4</w:t>
      </w:r>
      <w:r w:rsidR="00B45D9D">
        <w:rPr>
          <w:szCs w:val="24"/>
        </w:rPr>
        <w:t xml:space="preserve"> priedas</w:t>
      </w:r>
    </w:p>
    <w:p w:rsidR="005155C1" w:rsidRDefault="005155C1" w:rsidP="005155C1">
      <w:pPr>
        <w:tabs>
          <w:tab w:val="left" w:pos="6237"/>
        </w:tabs>
        <w:rPr>
          <w:rFonts w:ascii="Palemonas" w:hAnsi="Palemonas"/>
          <w:szCs w:val="24"/>
          <w:lang w:eastAsia="lt-LT"/>
        </w:rPr>
      </w:pPr>
    </w:p>
    <w:p w:rsidR="005155C1" w:rsidRDefault="005155C1" w:rsidP="005155C1">
      <w:pPr>
        <w:keepLines/>
        <w:tabs>
          <w:tab w:val="left" w:pos="7020"/>
        </w:tabs>
        <w:suppressAutoHyphens/>
        <w:jc w:val="center"/>
        <w:textAlignment w:val="baseline"/>
        <w:rPr>
          <w:rFonts w:ascii="Palemonas" w:hAnsi="Palemonas"/>
          <w:b/>
          <w:bCs/>
          <w:color w:val="000000"/>
          <w:szCs w:val="24"/>
          <w:lang w:eastAsia="lt-LT"/>
        </w:rPr>
      </w:pPr>
      <w:r>
        <w:rPr>
          <w:rFonts w:ascii="Palemonas" w:hAnsi="Palemonas"/>
          <w:b/>
          <w:bCs/>
          <w:color w:val="000000"/>
          <w:szCs w:val="24"/>
          <w:lang w:eastAsia="lt-LT"/>
        </w:rPr>
        <w:t>(Metinės veiklos ataskaitos forma)</w:t>
      </w:r>
    </w:p>
    <w:p w:rsidR="005155C1" w:rsidRDefault="005155C1" w:rsidP="005155C1">
      <w:pPr>
        <w:keepLines/>
        <w:tabs>
          <w:tab w:val="left" w:pos="7020"/>
        </w:tabs>
        <w:suppressAutoHyphens/>
        <w:jc w:val="center"/>
        <w:textAlignment w:val="baseline"/>
        <w:rPr>
          <w:rFonts w:ascii="Palemonas" w:hAnsi="Palemonas"/>
          <w:b/>
          <w:bCs/>
          <w:color w:val="000000"/>
          <w:szCs w:val="24"/>
          <w:lang w:eastAsia="lt-LT"/>
        </w:rPr>
      </w:pPr>
    </w:p>
    <w:p w:rsidR="005155C1" w:rsidRPr="00D76022" w:rsidRDefault="00D76022" w:rsidP="005155C1">
      <w:pPr>
        <w:keepLines/>
        <w:tabs>
          <w:tab w:val="left" w:pos="7020"/>
        </w:tabs>
        <w:suppressAutoHyphens/>
        <w:jc w:val="center"/>
        <w:textAlignment w:val="baseline"/>
        <w:rPr>
          <w:rFonts w:ascii="Palemonas" w:hAnsi="Palemonas"/>
          <w:bCs/>
          <w:szCs w:val="24"/>
          <w:u w:val="single"/>
          <w:lang w:eastAsia="lt-LT"/>
        </w:rPr>
      </w:pPr>
      <w:r w:rsidRPr="00D76022">
        <w:rPr>
          <w:rFonts w:ascii="Palemonas" w:hAnsi="Palemonas"/>
          <w:bCs/>
          <w:szCs w:val="24"/>
          <w:u w:val="single"/>
          <w:lang w:eastAsia="lt-LT"/>
        </w:rPr>
        <w:t>Plungės „Saulės“ gimnazija, kodas</w:t>
      </w:r>
      <w:r w:rsidRPr="00D76022">
        <w:rPr>
          <w:u w:val="single"/>
        </w:rPr>
        <w:t xml:space="preserve"> </w:t>
      </w:r>
      <w:r w:rsidRPr="00D76022">
        <w:rPr>
          <w:rFonts w:ascii="Palemonas" w:hAnsi="Palemonas"/>
          <w:bCs/>
          <w:szCs w:val="24"/>
          <w:u w:val="single"/>
          <w:lang w:eastAsia="lt-LT"/>
        </w:rPr>
        <w:t xml:space="preserve">191130264, duomenys kaupiami ir saugomi Juridinių asmenų registre, adresas Birutės g. 31, LT-90112 Plungė </w:t>
      </w:r>
    </w:p>
    <w:p w:rsidR="005155C1" w:rsidRDefault="005155C1" w:rsidP="005155C1">
      <w:pPr>
        <w:keepLines/>
        <w:tabs>
          <w:tab w:val="left" w:pos="7020"/>
        </w:tabs>
        <w:suppressAutoHyphens/>
        <w:jc w:val="center"/>
        <w:textAlignment w:val="baseline"/>
        <w:rPr>
          <w:rFonts w:ascii="Palemonas" w:hAnsi="Palemonas"/>
          <w:bCs/>
          <w:szCs w:val="24"/>
          <w:lang w:eastAsia="lt-LT"/>
        </w:rPr>
      </w:pPr>
    </w:p>
    <w:p w:rsidR="005155C1" w:rsidRDefault="005155C1" w:rsidP="005155C1">
      <w:pPr>
        <w:keepLines/>
        <w:tabs>
          <w:tab w:val="left" w:pos="7020"/>
        </w:tabs>
        <w:suppressAutoHyphens/>
        <w:jc w:val="center"/>
        <w:textAlignment w:val="baseline"/>
        <w:rPr>
          <w:rFonts w:ascii="Palemonas" w:hAnsi="Palemonas"/>
          <w:b/>
          <w:bCs/>
          <w:szCs w:val="24"/>
          <w:lang w:eastAsia="lt-LT"/>
        </w:rPr>
      </w:pPr>
      <w:r>
        <w:rPr>
          <w:rFonts w:ascii="Palemonas" w:hAnsi="Palemonas"/>
          <w:b/>
          <w:bCs/>
          <w:szCs w:val="24"/>
          <w:lang w:eastAsia="lt-LT"/>
        </w:rPr>
        <w:t>20</w:t>
      </w:r>
      <w:r w:rsidR="001E27A9" w:rsidRPr="001E27A9">
        <w:rPr>
          <w:rFonts w:ascii="Palemonas" w:hAnsi="Palemonas"/>
          <w:b/>
          <w:bCs/>
          <w:szCs w:val="24"/>
          <w:lang w:eastAsia="lt-LT"/>
        </w:rPr>
        <w:t>24</w:t>
      </w:r>
      <w:r>
        <w:rPr>
          <w:rFonts w:ascii="Palemonas" w:hAnsi="Palemonas"/>
          <w:b/>
          <w:bCs/>
          <w:szCs w:val="24"/>
          <w:lang w:eastAsia="lt-LT"/>
        </w:rPr>
        <w:t xml:space="preserve"> METŲ VEIKLOS ATASKAITA</w:t>
      </w:r>
    </w:p>
    <w:p w:rsidR="005155C1" w:rsidRPr="001E27A9" w:rsidRDefault="008D54D1" w:rsidP="005155C1">
      <w:pPr>
        <w:suppressAutoHyphens/>
        <w:jc w:val="center"/>
        <w:textAlignment w:val="baseline"/>
        <w:rPr>
          <w:rFonts w:ascii="Palemonas" w:hAnsi="Palemonas"/>
          <w:szCs w:val="24"/>
          <w:u w:val="single"/>
          <w:lang w:eastAsia="lt-LT"/>
        </w:rPr>
      </w:pPr>
      <w:r>
        <w:rPr>
          <w:rFonts w:ascii="Palemonas" w:hAnsi="Palemonas"/>
          <w:szCs w:val="24"/>
          <w:u w:val="single"/>
          <w:lang w:eastAsia="lt-LT"/>
        </w:rPr>
        <w:t>2024-02-17</w:t>
      </w:r>
    </w:p>
    <w:p w:rsidR="005155C1" w:rsidRDefault="005155C1" w:rsidP="005155C1">
      <w:pPr>
        <w:suppressAutoHyphens/>
        <w:jc w:val="center"/>
        <w:textAlignment w:val="baseline"/>
        <w:rPr>
          <w:rFonts w:ascii="Palemonas" w:hAnsi="Palemonas"/>
          <w:szCs w:val="24"/>
          <w:lang w:eastAsia="lt-LT"/>
        </w:rPr>
      </w:pPr>
      <w:r>
        <w:rPr>
          <w:rFonts w:ascii="Palemonas" w:hAnsi="Palemonas"/>
          <w:szCs w:val="24"/>
          <w:lang w:eastAsia="lt-LT"/>
        </w:rPr>
        <w:t>Plungė</w:t>
      </w:r>
    </w:p>
    <w:p w:rsidR="005155C1" w:rsidRDefault="005155C1" w:rsidP="005155C1">
      <w:pPr>
        <w:suppressAutoHyphens/>
        <w:jc w:val="center"/>
        <w:textAlignment w:val="baseline"/>
        <w:rPr>
          <w:rFonts w:ascii="Palemonas" w:hAnsi="Palemonas"/>
          <w:b/>
          <w:szCs w:val="24"/>
          <w:lang w:eastAsia="lt-LT"/>
        </w:rPr>
      </w:pPr>
    </w:p>
    <w:p w:rsidR="005155C1" w:rsidRDefault="005155C1" w:rsidP="005155C1">
      <w:pPr>
        <w:suppressAutoHyphens/>
        <w:jc w:val="center"/>
        <w:textAlignment w:val="baseline"/>
        <w:rPr>
          <w:rFonts w:ascii="Palemonas" w:hAnsi="Palemonas"/>
          <w:b/>
          <w:szCs w:val="24"/>
          <w:lang w:eastAsia="lt-LT"/>
        </w:rPr>
      </w:pPr>
      <w:r>
        <w:rPr>
          <w:rFonts w:ascii="Palemonas" w:hAnsi="Palemonas"/>
          <w:b/>
          <w:szCs w:val="24"/>
          <w:lang w:eastAsia="lt-LT"/>
        </w:rPr>
        <w:t>I SKYRIUS</w:t>
      </w:r>
    </w:p>
    <w:p w:rsidR="005155C1" w:rsidRDefault="005155C1" w:rsidP="005155C1">
      <w:pPr>
        <w:suppressAutoHyphens/>
        <w:jc w:val="center"/>
        <w:textAlignment w:val="baseline"/>
        <w:rPr>
          <w:rFonts w:ascii="Palemonas" w:hAnsi="Palemonas"/>
          <w:b/>
          <w:szCs w:val="24"/>
          <w:lang w:eastAsia="lt-LT"/>
        </w:rPr>
      </w:pPr>
      <w:r>
        <w:rPr>
          <w:rFonts w:ascii="Palemonas" w:hAnsi="Palemonas"/>
          <w:b/>
          <w:szCs w:val="24"/>
          <w:lang w:eastAsia="lt-LT"/>
        </w:rPr>
        <w:t>VADOVO PRANEŠIMAS</w:t>
      </w:r>
    </w:p>
    <w:p w:rsidR="005155C1" w:rsidRDefault="005155C1" w:rsidP="005155C1">
      <w:pPr>
        <w:suppressAutoHyphens/>
        <w:jc w:val="center"/>
        <w:textAlignment w:val="baseline"/>
        <w:rPr>
          <w:rFonts w:ascii="Palemonas" w:hAnsi="Palemonas"/>
          <w:b/>
          <w:szCs w:val="24"/>
          <w:lang w:eastAsia="lt-LT"/>
        </w:rPr>
      </w:pPr>
    </w:p>
    <w:p w:rsidR="00AA2D6A" w:rsidRPr="00AA2D6A" w:rsidRDefault="00AA2D6A" w:rsidP="00AA2D6A">
      <w:pPr>
        <w:suppressAutoHyphens/>
        <w:ind w:firstLine="720"/>
        <w:jc w:val="both"/>
        <w:textAlignment w:val="baseline"/>
        <w:rPr>
          <w:szCs w:val="24"/>
          <w:lang w:eastAsia="lt-LT"/>
        </w:rPr>
      </w:pPr>
      <w:r w:rsidRPr="00AA2D6A">
        <w:rPr>
          <w:szCs w:val="24"/>
          <w:lang w:eastAsia="lt-LT"/>
        </w:rPr>
        <w:t>Plungės „Saulės“ gimnazijos 2024 metų veiklos ataskaita parengta vadovaujantis strateginiais gimnazijos tikslais, prioritetais ir vykdytų veiklų analize. Gimnazijos prioriteta</w:t>
      </w:r>
      <w:r w:rsidR="002708E0">
        <w:rPr>
          <w:szCs w:val="24"/>
          <w:lang w:eastAsia="lt-LT"/>
        </w:rPr>
        <w:t>i buvo ugdymo kokybės gerinimas</w:t>
      </w:r>
      <w:r w:rsidR="00E77547">
        <w:rPr>
          <w:szCs w:val="24"/>
          <w:lang w:eastAsia="lt-LT"/>
        </w:rPr>
        <w:t>,</w:t>
      </w:r>
      <w:r w:rsidRPr="00AA2D6A">
        <w:rPr>
          <w:szCs w:val="24"/>
          <w:lang w:eastAsia="lt-LT"/>
        </w:rPr>
        <w:t xml:space="preserve"> siekiant kiekv</w:t>
      </w:r>
      <w:r w:rsidR="002708E0">
        <w:rPr>
          <w:szCs w:val="24"/>
          <w:lang w:eastAsia="lt-LT"/>
        </w:rPr>
        <w:t>ieno mokinio asmeninės pažangos</w:t>
      </w:r>
      <w:r w:rsidRPr="00AA2D6A">
        <w:rPr>
          <w:szCs w:val="24"/>
          <w:lang w:eastAsia="lt-LT"/>
        </w:rPr>
        <w:t xml:space="preserve"> ir bendruomenės kultūros, grindžiamos partneryste ir lyderyste, stiprinimas.</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Pagrindiniai rezultatai</w:t>
      </w:r>
    </w:p>
    <w:p w:rsidR="00AA2D6A" w:rsidRPr="00AA2D6A" w:rsidRDefault="00DD4F35" w:rsidP="00AA2D6A">
      <w:pPr>
        <w:suppressAutoHyphens/>
        <w:ind w:firstLine="720"/>
        <w:jc w:val="both"/>
        <w:textAlignment w:val="baseline"/>
        <w:rPr>
          <w:szCs w:val="24"/>
          <w:lang w:eastAsia="lt-LT"/>
        </w:rPr>
      </w:pPr>
      <w:r>
        <w:rPr>
          <w:szCs w:val="24"/>
          <w:lang w:eastAsia="lt-LT"/>
        </w:rPr>
        <w:t>Mokinių pasiekimai</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2023–2024 mokslo metais gimnazijoje mokėsi 653 mokiniai, mokslo metus baigė 645. Pagrindinio ugdymo programą baigė 147 mokiniai, vidurinio ugdymo programą – 155 abiturientai. Gimnazijos mokinių pažymių vidurkis siekė 8,2, o bendras pažangumas – 98,67 %.</w:t>
      </w:r>
    </w:p>
    <w:p w:rsidR="00AA2D6A" w:rsidRPr="00AA2D6A" w:rsidRDefault="00AA2D6A" w:rsidP="00AA2D6A">
      <w:pPr>
        <w:suppressAutoHyphens/>
        <w:ind w:firstLine="720"/>
        <w:jc w:val="both"/>
        <w:textAlignment w:val="baseline"/>
        <w:rPr>
          <w:szCs w:val="24"/>
          <w:lang w:eastAsia="lt-LT"/>
        </w:rPr>
      </w:pPr>
      <w:r>
        <w:rPr>
          <w:szCs w:val="24"/>
          <w:lang w:eastAsia="lt-LT"/>
        </w:rPr>
        <w:t>Ugdymo</w:t>
      </w:r>
      <w:r w:rsidR="00DD4F35">
        <w:rPr>
          <w:szCs w:val="24"/>
          <w:lang w:eastAsia="lt-LT"/>
        </w:rPr>
        <w:t xml:space="preserve"> rezultatai</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 xml:space="preserve">Lietuvių kalbos </w:t>
      </w:r>
      <w:r>
        <w:rPr>
          <w:szCs w:val="24"/>
          <w:lang w:eastAsia="lt-LT"/>
        </w:rPr>
        <w:t>pagrindinio ugdymo pasiekimų patikrinimo (</w:t>
      </w:r>
      <w:r w:rsidRPr="00AA2D6A">
        <w:rPr>
          <w:szCs w:val="24"/>
          <w:lang w:eastAsia="lt-LT"/>
        </w:rPr>
        <w:t>PUPP</w:t>
      </w:r>
      <w:r>
        <w:rPr>
          <w:szCs w:val="24"/>
          <w:lang w:eastAsia="lt-LT"/>
        </w:rPr>
        <w:t>)</w:t>
      </w:r>
      <w:r w:rsidRPr="00AA2D6A">
        <w:rPr>
          <w:szCs w:val="24"/>
          <w:lang w:eastAsia="lt-LT"/>
        </w:rPr>
        <w:t xml:space="preserve"> išlaikymas siekė 100 %, matematikos – 91,2 %. Abiejų dalykų rezultatai buvo geresni nei šalies vidurkis. Valstybinių bra</w:t>
      </w:r>
      <w:r>
        <w:rPr>
          <w:szCs w:val="24"/>
          <w:lang w:eastAsia="lt-LT"/>
        </w:rPr>
        <w:t xml:space="preserve">ndos egzaminų </w:t>
      </w:r>
      <w:r w:rsidR="00BA4A4F">
        <w:rPr>
          <w:szCs w:val="24"/>
          <w:lang w:eastAsia="lt-LT"/>
        </w:rPr>
        <w:t>(</w:t>
      </w:r>
      <w:r>
        <w:rPr>
          <w:szCs w:val="24"/>
          <w:lang w:eastAsia="lt-LT"/>
        </w:rPr>
        <w:t>VBE) išlaikymo vidutinis įvertinimas</w:t>
      </w:r>
      <w:r w:rsidR="002708E0">
        <w:rPr>
          <w:szCs w:val="24"/>
          <w:lang w:eastAsia="lt-LT"/>
        </w:rPr>
        <w:t xml:space="preserve"> buvo 48,4 </w:t>
      </w:r>
      <w:r w:rsidRPr="00AA2D6A">
        <w:rPr>
          <w:szCs w:val="24"/>
          <w:lang w:eastAsia="lt-LT"/>
        </w:rPr>
        <w:t>– aukštesnis už savivaldybės ir šalies vidurkius</w:t>
      </w:r>
      <w:r w:rsidR="00E924ED">
        <w:rPr>
          <w:szCs w:val="24"/>
          <w:lang w:eastAsia="lt-LT"/>
        </w:rPr>
        <w:t>,</w:t>
      </w:r>
      <w:r w:rsidR="00E924ED" w:rsidRPr="00E924ED">
        <w:t xml:space="preserve"> </w:t>
      </w:r>
      <w:r w:rsidR="00E924ED" w:rsidRPr="00E924ED">
        <w:rPr>
          <w:szCs w:val="24"/>
          <w:lang w:eastAsia="lt-LT"/>
        </w:rPr>
        <w:t>i</w:t>
      </w:r>
      <w:r w:rsidR="00E924ED">
        <w:rPr>
          <w:szCs w:val="24"/>
          <w:lang w:eastAsia="lt-LT"/>
        </w:rPr>
        <w:t>šskyrus matematiką ir biologiją</w:t>
      </w:r>
      <w:r w:rsidRPr="00AA2D6A">
        <w:rPr>
          <w:szCs w:val="24"/>
          <w:lang w:eastAsia="lt-LT"/>
        </w:rPr>
        <w:t>. 70,3 % abiturientų tęsė mokslus Lietuvos aukštosiose mokyklose, o 79,8 % jų įstojo į valstybės finansuojamas vietas.</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 xml:space="preserve">Mokinių pasiekimai </w:t>
      </w:r>
      <w:r w:rsidR="00DD4F35">
        <w:rPr>
          <w:szCs w:val="24"/>
          <w:lang w:eastAsia="lt-LT"/>
        </w:rPr>
        <w:t>už gimnazijos ribų</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166 mokiniai dalyvavo olimpiadose, konkursuose, iš kurių 82 užėmė prizines vietas (25 – I vietą). Buvo laimėti 3 respublikiniai ir 1 tarptautinis apdovanojimas.</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Pedagogų veikla ir kvalifikacijos tobulinimas</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Gimnazijoje dirbo 54 pedago</w:t>
      </w:r>
      <w:r w:rsidR="002708E0">
        <w:rPr>
          <w:szCs w:val="24"/>
          <w:lang w:eastAsia="lt-LT"/>
        </w:rPr>
        <w:t xml:space="preserve">giniai darbuotojai, iš kurių 98 </w:t>
      </w:r>
      <w:r w:rsidRPr="00AA2D6A">
        <w:rPr>
          <w:szCs w:val="24"/>
          <w:lang w:eastAsia="lt-LT"/>
        </w:rPr>
        <w:t>% dalyvavo kvalifikacijos tobulinimo veiklose, vidutiniškai skirdami tam po 79 valandas per metus. Organizuotos 146 atviros ir integruotos pamokos, skatinančios metodinės patirties mainus.</w:t>
      </w:r>
      <w:r w:rsidR="00BA4A4F">
        <w:rPr>
          <w:szCs w:val="24"/>
          <w:lang w:eastAsia="lt-LT"/>
        </w:rPr>
        <w:t xml:space="preserve">  </w:t>
      </w:r>
      <w:r w:rsidR="00BA4A4F" w:rsidRPr="00BA4A4F">
        <w:rPr>
          <w:szCs w:val="24"/>
          <w:lang w:eastAsia="lt-LT"/>
        </w:rPr>
        <w:t>Plėtota dalijimosi kultūra kolektyve, vadovauta rajono metodiniams būreliams.</w:t>
      </w:r>
      <w:r w:rsidR="00BA4A4F">
        <w:rPr>
          <w:szCs w:val="24"/>
          <w:lang w:eastAsia="lt-LT"/>
        </w:rPr>
        <w:t xml:space="preserve"> </w:t>
      </w:r>
      <w:r w:rsidRPr="00AA2D6A">
        <w:rPr>
          <w:szCs w:val="24"/>
          <w:lang w:eastAsia="lt-LT"/>
        </w:rPr>
        <w:t>Įgyvendinti strateginiai projektai, susiję su mokinių individualios pažangos užtikrinimu ir mokytojų kompetencijų ugdymu.</w:t>
      </w:r>
    </w:p>
    <w:p w:rsidR="00BA4A4F" w:rsidRDefault="00AA2D6A" w:rsidP="00AA2D6A">
      <w:pPr>
        <w:suppressAutoHyphens/>
        <w:ind w:firstLine="720"/>
        <w:jc w:val="both"/>
        <w:textAlignment w:val="baseline"/>
        <w:rPr>
          <w:szCs w:val="24"/>
          <w:lang w:eastAsia="lt-LT"/>
        </w:rPr>
      </w:pPr>
      <w:r w:rsidRPr="00AA2D6A">
        <w:rPr>
          <w:szCs w:val="24"/>
          <w:lang w:eastAsia="lt-LT"/>
        </w:rPr>
        <w:t>Infrastruktūros tobulinimas</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 xml:space="preserve">2024 m. </w:t>
      </w:r>
      <w:r w:rsidR="00BA4A4F">
        <w:rPr>
          <w:szCs w:val="24"/>
          <w:lang w:eastAsia="lt-LT"/>
        </w:rPr>
        <w:t xml:space="preserve">modernizuota IT bazė, </w:t>
      </w:r>
      <w:r w:rsidR="00FD2CC8">
        <w:rPr>
          <w:szCs w:val="24"/>
          <w:lang w:eastAsia="lt-LT"/>
        </w:rPr>
        <w:t>į</w:t>
      </w:r>
      <w:r w:rsidRPr="00AA2D6A">
        <w:rPr>
          <w:szCs w:val="24"/>
          <w:lang w:eastAsia="lt-LT"/>
        </w:rPr>
        <w:t>sigyta šiuolaikinių mokymo priemonių: 8 interaktyvūs SMART ekranai, 48 nešiojami kompiuteriai, įreng</w:t>
      </w:r>
      <w:r w:rsidR="00FD2CC8">
        <w:rPr>
          <w:szCs w:val="24"/>
          <w:lang w:eastAsia="lt-LT"/>
        </w:rPr>
        <w:t>ta</w:t>
      </w:r>
      <w:r w:rsidRPr="00AA2D6A">
        <w:rPr>
          <w:szCs w:val="24"/>
          <w:lang w:eastAsia="lt-LT"/>
        </w:rPr>
        <w:t xml:space="preserve"> 14 naujų vaizdo stebėjimo kamerų. Pagerintos edukacinės erdvės – įrengtas sensorinis</w:t>
      </w:r>
      <w:r w:rsidR="0089468B">
        <w:rPr>
          <w:szCs w:val="24"/>
          <w:lang w:eastAsia="lt-LT"/>
        </w:rPr>
        <w:t>-imersinis</w:t>
      </w:r>
      <w:r w:rsidRPr="00AA2D6A">
        <w:rPr>
          <w:szCs w:val="24"/>
          <w:lang w:eastAsia="lt-LT"/>
        </w:rPr>
        <w:t xml:space="preserve"> kambarys, poilsio zonos, atnaujinti kabinetai.</w:t>
      </w:r>
    </w:p>
    <w:p w:rsidR="00AA2D6A" w:rsidRPr="00AA2D6A" w:rsidRDefault="00DD4F35" w:rsidP="00AA2D6A">
      <w:pPr>
        <w:suppressAutoHyphens/>
        <w:ind w:firstLine="720"/>
        <w:jc w:val="both"/>
        <w:textAlignment w:val="baseline"/>
        <w:rPr>
          <w:szCs w:val="24"/>
          <w:lang w:eastAsia="lt-LT"/>
        </w:rPr>
      </w:pPr>
      <w:r>
        <w:rPr>
          <w:szCs w:val="24"/>
          <w:lang w:eastAsia="lt-LT"/>
        </w:rPr>
        <w:t xml:space="preserve">Projektai ir iniciatyvos </w:t>
      </w:r>
    </w:p>
    <w:p w:rsidR="00CD3484" w:rsidRDefault="00AA2D6A" w:rsidP="00CD3484">
      <w:pPr>
        <w:suppressAutoHyphens/>
        <w:ind w:firstLine="720"/>
        <w:jc w:val="both"/>
        <w:textAlignment w:val="baseline"/>
        <w:rPr>
          <w:szCs w:val="24"/>
          <w:lang w:eastAsia="lt-LT"/>
        </w:rPr>
      </w:pPr>
      <w:r w:rsidRPr="00AA2D6A">
        <w:rPr>
          <w:szCs w:val="24"/>
          <w:lang w:eastAsia="lt-LT"/>
        </w:rPr>
        <w:t xml:space="preserve">2024 m. </w:t>
      </w:r>
      <w:r w:rsidR="00DD4F35">
        <w:rPr>
          <w:szCs w:val="24"/>
          <w:lang w:eastAsia="lt-LT"/>
        </w:rPr>
        <w:t>gimnazija įgyvendino Tūkstantmečio mokyklos projektą (TŪM). Buvo renovuotos gimnazijos patalpos, įrengta muzikos studija, sensorinis-imersinis kambarys,</w:t>
      </w:r>
      <w:r w:rsidR="00CD3484">
        <w:rPr>
          <w:szCs w:val="24"/>
          <w:lang w:eastAsia="lt-LT"/>
        </w:rPr>
        <w:t xml:space="preserve"> mokinių poilsio ir darbo patalpos, įgyvendinama kultūrinio ugdymo programa, įsigyta įranga gamtos mokslų praktiniams darbams, rengiama biotechnologijų laboratorija. 2024 m. </w:t>
      </w:r>
      <w:r w:rsidRPr="00AA2D6A">
        <w:rPr>
          <w:szCs w:val="24"/>
          <w:lang w:eastAsia="lt-LT"/>
        </w:rPr>
        <w:t xml:space="preserve">gimnazija gavo „Erasmus+“ akreditaciją ir sėkmingai įgyvendino kelis tarptautinius projektus, įskaitant mokytojų kvalifikacijos kėlimo </w:t>
      </w:r>
      <w:r w:rsidRPr="00AA2D6A">
        <w:rPr>
          <w:szCs w:val="24"/>
          <w:lang w:eastAsia="lt-LT"/>
        </w:rPr>
        <w:lastRenderedPageBreak/>
        <w:t>programas Barselonoje. Projektai skatino mokyklos bendruomenės įtrauktį, ekologines iniciatyvas ir tarpkultūrinį bendradarbiavimą.</w:t>
      </w:r>
      <w:r w:rsidR="00CD3484" w:rsidRPr="00CD3484">
        <w:rPr>
          <w:szCs w:val="24"/>
          <w:lang w:eastAsia="lt-LT"/>
        </w:rPr>
        <w:t xml:space="preserve"> </w:t>
      </w:r>
    </w:p>
    <w:p w:rsidR="00CD3484" w:rsidRPr="00AA2D6A" w:rsidRDefault="00CD3484" w:rsidP="00CD3484">
      <w:pPr>
        <w:suppressAutoHyphens/>
        <w:ind w:firstLine="720"/>
        <w:jc w:val="both"/>
        <w:textAlignment w:val="baseline"/>
        <w:rPr>
          <w:szCs w:val="24"/>
          <w:lang w:eastAsia="lt-LT"/>
        </w:rPr>
      </w:pPr>
      <w:r w:rsidRPr="00AA2D6A">
        <w:rPr>
          <w:szCs w:val="24"/>
          <w:lang w:eastAsia="lt-LT"/>
        </w:rPr>
        <w:t>Bendruomenės gerovė</w:t>
      </w:r>
    </w:p>
    <w:p w:rsidR="00CD3484" w:rsidRDefault="00CD3484" w:rsidP="00CD3484">
      <w:pPr>
        <w:suppressAutoHyphens/>
        <w:ind w:firstLine="720"/>
        <w:jc w:val="both"/>
        <w:textAlignment w:val="baseline"/>
      </w:pPr>
      <w:r w:rsidRPr="00AA2D6A">
        <w:rPr>
          <w:szCs w:val="24"/>
          <w:lang w:eastAsia="lt-LT"/>
        </w:rPr>
        <w:t>Dėmesys skirtas mokinių emocinei sveikatai</w:t>
      </w:r>
      <w:r>
        <w:rPr>
          <w:szCs w:val="24"/>
          <w:lang w:eastAsia="lt-LT"/>
        </w:rPr>
        <w:t>, patyčių ir smurto prevencijai bei</w:t>
      </w:r>
      <w:r w:rsidRPr="00AA2D6A">
        <w:rPr>
          <w:szCs w:val="24"/>
          <w:lang w:eastAsia="lt-LT"/>
        </w:rPr>
        <w:t xml:space="preserve"> mikroklimato gerinimui: organizuoti patyčių prevencijos renginiai, 80 individualių psichologo konsultacijų </w:t>
      </w:r>
      <w:r>
        <w:rPr>
          <w:szCs w:val="24"/>
          <w:lang w:eastAsia="lt-LT"/>
        </w:rPr>
        <w:t>mokiniams ir tėvams,</w:t>
      </w:r>
      <w:r w:rsidRPr="00AA2D6A">
        <w:rPr>
          <w:szCs w:val="24"/>
          <w:lang w:eastAsia="lt-LT"/>
        </w:rPr>
        <w:t xml:space="preserve"> 13 klasės valandė</w:t>
      </w:r>
      <w:r>
        <w:rPr>
          <w:szCs w:val="24"/>
          <w:lang w:eastAsia="lt-LT"/>
        </w:rPr>
        <w:t>lių aktualiomis temomis, organizuoti pedagogų</w:t>
      </w:r>
      <w:r w:rsidRPr="00AA2D6A">
        <w:rPr>
          <w:szCs w:val="24"/>
          <w:lang w:eastAsia="lt-LT"/>
        </w:rPr>
        <w:t xml:space="preserve"> budėjimai pertraukų metu, aktyviai įsitraukta į prevencijos veiklas.</w:t>
      </w:r>
      <w:r w:rsidRPr="00DD4F35">
        <w:t xml:space="preserve"> </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Iššūkiai ir problemos</w:t>
      </w:r>
    </w:p>
    <w:p w:rsidR="00AA2D6A" w:rsidRPr="00AA2D6A" w:rsidRDefault="00AA2D6A" w:rsidP="00AA2D6A">
      <w:pPr>
        <w:suppressAutoHyphens/>
        <w:ind w:firstLine="720"/>
        <w:jc w:val="both"/>
        <w:textAlignment w:val="baseline"/>
        <w:rPr>
          <w:szCs w:val="24"/>
          <w:lang w:eastAsia="lt-LT"/>
        </w:rPr>
      </w:pPr>
      <w:r w:rsidRPr="00AA2D6A">
        <w:rPr>
          <w:szCs w:val="24"/>
          <w:lang w:eastAsia="lt-LT"/>
        </w:rPr>
        <w:t>Pagri</w:t>
      </w:r>
      <w:r w:rsidR="00E924ED">
        <w:rPr>
          <w:szCs w:val="24"/>
          <w:lang w:eastAsia="lt-LT"/>
        </w:rPr>
        <w:t xml:space="preserve">ndiniai </w:t>
      </w:r>
      <w:r w:rsidR="00233949">
        <w:rPr>
          <w:szCs w:val="24"/>
          <w:lang w:eastAsia="lt-LT"/>
        </w:rPr>
        <w:t xml:space="preserve">2024 m. </w:t>
      </w:r>
      <w:r w:rsidR="00E924ED">
        <w:rPr>
          <w:szCs w:val="24"/>
          <w:lang w:eastAsia="lt-LT"/>
        </w:rPr>
        <w:t>iššūkia</w:t>
      </w:r>
      <w:r w:rsidR="00233949">
        <w:rPr>
          <w:szCs w:val="24"/>
          <w:lang w:eastAsia="lt-LT"/>
        </w:rPr>
        <w:t xml:space="preserve">i: </w:t>
      </w:r>
      <w:r w:rsidR="00E924ED">
        <w:rPr>
          <w:szCs w:val="24"/>
          <w:lang w:eastAsia="lt-LT"/>
        </w:rPr>
        <w:t xml:space="preserve"> mokinių </w:t>
      </w:r>
      <w:r w:rsidRPr="00AA2D6A">
        <w:rPr>
          <w:szCs w:val="24"/>
          <w:lang w:eastAsia="lt-LT"/>
        </w:rPr>
        <w:t xml:space="preserve">lankomumas </w:t>
      </w:r>
      <w:r w:rsidR="00233949">
        <w:rPr>
          <w:szCs w:val="24"/>
          <w:lang w:eastAsia="lt-LT"/>
        </w:rPr>
        <w:t xml:space="preserve">ir prasti mokymosi rezultatai suaugusiųjų klasėse, </w:t>
      </w:r>
      <w:r w:rsidRPr="00AA2D6A">
        <w:rPr>
          <w:szCs w:val="24"/>
          <w:lang w:eastAsia="lt-LT"/>
        </w:rPr>
        <w:t xml:space="preserve">žemesni matematikos </w:t>
      </w:r>
      <w:r w:rsidR="00E924ED">
        <w:rPr>
          <w:szCs w:val="24"/>
          <w:lang w:eastAsia="lt-LT"/>
        </w:rPr>
        <w:t xml:space="preserve">ir biologijos </w:t>
      </w:r>
      <w:r w:rsidR="00233949">
        <w:rPr>
          <w:szCs w:val="24"/>
          <w:lang w:eastAsia="lt-LT"/>
        </w:rPr>
        <w:t xml:space="preserve">VBE  </w:t>
      </w:r>
      <w:r w:rsidRPr="00AA2D6A">
        <w:rPr>
          <w:szCs w:val="24"/>
          <w:lang w:eastAsia="lt-LT"/>
        </w:rPr>
        <w:t>rezul</w:t>
      </w:r>
      <w:r w:rsidR="00E924ED">
        <w:rPr>
          <w:szCs w:val="24"/>
          <w:lang w:eastAsia="lt-LT"/>
        </w:rPr>
        <w:t>tatai bei</w:t>
      </w:r>
      <w:r w:rsidR="00BA4A4F">
        <w:rPr>
          <w:szCs w:val="24"/>
          <w:lang w:eastAsia="lt-LT"/>
        </w:rPr>
        <w:t xml:space="preserve"> mokinių, nepasiekusių </w:t>
      </w:r>
      <w:r w:rsidRPr="00AA2D6A">
        <w:rPr>
          <w:szCs w:val="24"/>
          <w:lang w:eastAsia="lt-LT"/>
        </w:rPr>
        <w:t xml:space="preserve"> patenkinamo lygio, skaičius. Šios problemos buvo sprendžiamos individualizuota pagalba mokiniams, papildomomis konsultacijomis bei bendradarbiaujant su tėvais ir </w:t>
      </w:r>
      <w:r w:rsidR="00E924ED">
        <w:rPr>
          <w:szCs w:val="24"/>
          <w:lang w:eastAsia="lt-LT"/>
        </w:rPr>
        <w:t xml:space="preserve">pagalbos mokiniui </w:t>
      </w:r>
      <w:r w:rsidRPr="00AA2D6A">
        <w:rPr>
          <w:szCs w:val="24"/>
          <w:lang w:eastAsia="lt-LT"/>
        </w:rPr>
        <w:t>specialistais.</w:t>
      </w:r>
    </w:p>
    <w:p w:rsidR="00AA2D6A" w:rsidRDefault="00DD4F35" w:rsidP="00AA2D6A">
      <w:pPr>
        <w:suppressAutoHyphens/>
        <w:ind w:firstLine="720"/>
        <w:jc w:val="both"/>
        <w:textAlignment w:val="baseline"/>
        <w:rPr>
          <w:szCs w:val="24"/>
          <w:lang w:eastAsia="lt-LT"/>
        </w:rPr>
      </w:pPr>
      <w:r w:rsidRPr="00DD4F35">
        <w:rPr>
          <w:szCs w:val="24"/>
          <w:lang w:eastAsia="lt-LT"/>
        </w:rPr>
        <w:t>Išvada – 2024 m. Plungės „Saulės“ gimnazija nuosekliai siekė savo strateginių tikslų: ugdymo kokybės gerinimo, mokytojų kompetencijų tobulinimo bei mokinių pasiekimų skatinimo. Pasiekti rezultatai atspindi gimnazijos bendruomenės krypting</w:t>
      </w:r>
      <w:r>
        <w:rPr>
          <w:szCs w:val="24"/>
          <w:lang w:eastAsia="lt-LT"/>
        </w:rPr>
        <w:t xml:space="preserve">ą darbą ir </w:t>
      </w:r>
      <w:r w:rsidRPr="00DD4F35">
        <w:rPr>
          <w:szCs w:val="24"/>
          <w:lang w:eastAsia="lt-LT"/>
        </w:rPr>
        <w:t>rodo pažangą</w:t>
      </w:r>
      <w:r>
        <w:rPr>
          <w:szCs w:val="24"/>
          <w:lang w:eastAsia="lt-LT"/>
        </w:rPr>
        <w:t>,</w:t>
      </w:r>
      <w:r w:rsidRPr="00DD4F35">
        <w:rPr>
          <w:szCs w:val="24"/>
          <w:lang w:eastAsia="lt-LT"/>
        </w:rPr>
        <w:t xml:space="preserve"> sprendžiant iššūkius bei siekiant tobulėjimo visose veiklos srityse.</w:t>
      </w:r>
    </w:p>
    <w:p w:rsidR="00DD4F35" w:rsidRPr="00AA2D6A" w:rsidRDefault="00DD4F35" w:rsidP="00AA2D6A">
      <w:pPr>
        <w:suppressAutoHyphens/>
        <w:ind w:firstLine="720"/>
        <w:jc w:val="both"/>
        <w:textAlignment w:val="baseline"/>
        <w:rPr>
          <w:szCs w:val="24"/>
          <w:lang w:eastAsia="lt-LT"/>
        </w:rPr>
      </w:pPr>
    </w:p>
    <w:p w:rsidR="005155C1" w:rsidRDefault="005155C1" w:rsidP="005155C1">
      <w:pPr>
        <w:suppressAutoHyphens/>
        <w:jc w:val="center"/>
        <w:textAlignment w:val="baseline"/>
        <w:rPr>
          <w:rFonts w:ascii="Palemonas" w:hAnsi="Palemonas"/>
          <w:b/>
          <w:szCs w:val="24"/>
          <w:lang w:eastAsia="lt-LT"/>
        </w:rPr>
      </w:pPr>
      <w:r>
        <w:rPr>
          <w:rFonts w:ascii="Palemonas" w:hAnsi="Palemonas"/>
          <w:b/>
          <w:szCs w:val="24"/>
          <w:lang w:eastAsia="lt-LT"/>
        </w:rPr>
        <w:t>II SKYRIUS</w:t>
      </w:r>
    </w:p>
    <w:p w:rsidR="005155C1" w:rsidRPr="00F92811" w:rsidRDefault="005155C1" w:rsidP="005155C1">
      <w:pPr>
        <w:suppressAutoHyphens/>
        <w:autoSpaceDN w:val="0"/>
        <w:jc w:val="center"/>
        <w:textAlignment w:val="baseline"/>
        <w:rPr>
          <w:b/>
          <w:szCs w:val="24"/>
        </w:rPr>
      </w:pPr>
      <w:r w:rsidRPr="00F92811">
        <w:rPr>
          <w:b/>
          <w:szCs w:val="24"/>
        </w:rPr>
        <w:t>STRATEGINIŲ IR</w:t>
      </w:r>
      <w:r>
        <w:rPr>
          <w:b/>
          <w:szCs w:val="24"/>
        </w:rPr>
        <w:t xml:space="preserve"> </w:t>
      </w:r>
      <w:r w:rsidRPr="00F92811">
        <w:rPr>
          <w:b/>
          <w:szCs w:val="24"/>
        </w:rPr>
        <w:t>VEIKLOS TIKSLŲ ĮGYVENDINIMAS</w:t>
      </w:r>
    </w:p>
    <w:p w:rsidR="00510BCC" w:rsidRDefault="00510BCC" w:rsidP="006B3B41">
      <w:pPr>
        <w:ind w:firstLine="885"/>
        <w:jc w:val="both"/>
        <w:rPr>
          <w:bCs/>
          <w:szCs w:val="24"/>
          <w:lang w:eastAsia="lt-LT"/>
        </w:rPr>
      </w:pPr>
    </w:p>
    <w:p w:rsidR="00EA2368" w:rsidRDefault="00EA2368" w:rsidP="006B3B41">
      <w:pPr>
        <w:ind w:firstLine="885"/>
        <w:jc w:val="both"/>
        <w:rPr>
          <w:szCs w:val="24"/>
        </w:rPr>
      </w:pPr>
      <w:r>
        <w:rPr>
          <w:bCs/>
          <w:szCs w:val="24"/>
          <w:lang w:eastAsia="lt-LT"/>
        </w:rPr>
        <w:tab/>
      </w:r>
      <w:r>
        <w:rPr>
          <w:szCs w:val="24"/>
        </w:rPr>
        <w:t>2024 m. gimnazija įgyvendino strateginio plano u</w:t>
      </w:r>
      <w:r w:rsidRPr="001D6EC8">
        <w:rPr>
          <w:szCs w:val="24"/>
        </w:rPr>
        <w:t>gdymo kokybės, sporto ir moderni</w:t>
      </w:r>
      <w:r>
        <w:rPr>
          <w:szCs w:val="24"/>
        </w:rPr>
        <w:t>os aplinkos užtikrinimo programą. Jos tikslas – t</w:t>
      </w:r>
      <w:r w:rsidRPr="006069BC">
        <w:rPr>
          <w:szCs w:val="24"/>
        </w:rPr>
        <w:t>eikti kokybiškas</w:t>
      </w:r>
      <w:r w:rsidR="00B204F1">
        <w:rPr>
          <w:szCs w:val="24"/>
        </w:rPr>
        <w:t xml:space="preserve"> ir prieinamas ikimokyklinio, priešmokyklinio, </w:t>
      </w:r>
      <w:r w:rsidRPr="006069BC">
        <w:rPr>
          <w:szCs w:val="24"/>
        </w:rPr>
        <w:t>bendrojo</w:t>
      </w:r>
      <w:r w:rsidR="00B204F1">
        <w:rPr>
          <w:szCs w:val="24"/>
        </w:rPr>
        <w:t>, neformaliojo</w:t>
      </w:r>
      <w:r w:rsidRPr="006069BC">
        <w:rPr>
          <w:szCs w:val="24"/>
        </w:rPr>
        <w:t xml:space="preserve"> ugdymo paslaugas</w:t>
      </w:r>
      <w:r w:rsidR="00B204F1">
        <w:rPr>
          <w:szCs w:val="24"/>
        </w:rPr>
        <w:t xml:space="preserve">, </w:t>
      </w:r>
      <w:r w:rsidR="00B204F1" w:rsidRPr="00B204F1">
        <w:rPr>
          <w:szCs w:val="24"/>
        </w:rPr>
        <w:t>atliepiant ateities ekonomikos poreikius</w:t>
      </w:r>
      <w:r w:rsidRPr="006069BC">
        <w:rPr>
          <w:szCs w:val="24"/>
        </w:rPr>
        <w:t>.</w:t>
      </w:r>
      <w:r>
        <w:rPr>
          <w:szCs w:val="24"/>
        </w:rPr>
        <w:t xml:space="preserve"> </w:t>
      </w:r>
      <w:r w:rsidRPr="001D6EC8">
        <w:rPr>
          <w:szCs w:val="24"/>
        </w:rPr>
        <w:t>Uždavinys</w:t>
      </w:r>
      <w:r>
        <w:rPr>
          <w:szCs w:val="24"/>
        </w:rPr>
        <w:t xml:space="preserve"> – organizuoti </w:t>
      </w:r>
      <w:r w:rsidR="00B204F1" w:rsidRPr="00B204F1">
        <w:rPr>
          <w:szCs w:val="24"/>
        </w:rPr>
        <w:t>kokybišką ir prieinamą ugdymą ikimokyklinio ugdymo įstaigose, bendrojo ugdymo mokyklose bei neformaliojo vaikų švietimo įstaigose</w:t>
      </w:r>
      <w:r w:rsidR="0017649E">
        <w:rPr>
          <w:szCs w:val="24"/>
        </w:rPr>
        <w:t>.</w:t>
      </w:r>
    </w:p>
    <w:p w:rsidR="0017649E" w:rsidRDefault="00EA2368" w:rsidP="006B3B41">
      <w:pPr>
        <w:jc w:val="both"/>
        <w:rPr>
          <w:szCs w:val="24"/>
        </w:rPr>
      </w:pPr>
      <w:r>
        <w:rPr>
          <w:szCs w:val="24"/>
        </w:rPr>
        <w:t xml:space="preserve"> </w:t>
      </w:r>
      <w:r w:rsidR="0017649E">
        <w:rPr>
          <w:szCs w:val="24"/>
        </w:rPr>
        <w:tab/>
      </w:r>
      <w:r>
        <w:rPr>
          <w:szCs w:val="24"/>
        </w:rPr>
        <w:t xml:space="preserve">Siekiant įgyvendinti programą, pasiekti strateginių tikslų ir uždavinių, gimnazijos veikla buvo planuojama </w:t>
      </w:r>
      <w:r w:rsidR="0017649E">
        <w:rPr>
          <w:szCs w:val="24"/>
        </w:rPr>
        <w:t>ir vykdoma, atsižvelgiant į 2023</w:t>
      </w:r>
      <w:r>
        <w:rPr>
          <w:szCs w:val="24"/>
        </w:rPr>
        <w:t xml:space="preserve"> m. vidaus įsivertinimo išvadas. 2</w:t>
      </w:r>
      <w:r w:rsidR="0017649E">
        <w:rPr>
          <w:szCs w:val="24"/>
        </w:rPr>
        <w:t>024</w:t>
      </w:r>
      <w:r>
        <w:rPr>
          <w:szCs w:val="24"/>
        </w:rPr>
        <w:t xml:space="preserve"> m. veiklos prioritetinė sritis – rezultatai, rodiklis – m</w:t>
      </w:r>
      <w:r w:rsidRPr="00176F4C">
        <w:rPr>
          <w:szCs w:val="24"/>
        </w:rPr>
        <w:t>okinio pasiekimai ir pažanga</w:t>
      </w:r>
      <w:r>
        <w:rPr>
          <w:szCs w:val="24"/>
        </w:rPr>
        <w:t xml:space="preserve">. </w:t>
      </w:r>
      <w:r w:rsidR="003C249F">
        <w:rPr>
          <w:szCs w:val="24"/>
        </w:rPr>
        <w:t>2024 m.</w:t>
      </w:r>
      <w:r w:rsidR="0017649E" w:rsidRPr="0017649E">
        <w:rPr>
          <w:szCs w:val="24"/>
        </w:rPr>
        <w:t xml:space="preserve"> </w:t>
      </w:r>
      <w:r w:rsidR="0017649E">
        <w:rPr>
          <w:szCs w:val="24"/>
        </w:rPr>
        <w:t xml:space="preserve">gimnazijos </w:t>
      </w:r>
      <w:r w:rsidR="0017649E" w:rsidRPr="0017649E">
        <w:rPr>
          <w:szCs w:val="24"/>
        </w:rPr>
        <w:t xml:space="preserve">prioritetai buvo ugdymosi kokybės veiksmingumas ir saugi, </w:t>
      </w:r>
      <w:r w:rsidR="00DA6AFC">
        <w:rPr>
          <w:szCs w:val="24"/>
        </w:rPr>
        <w:t>partneryste ir lyderyste grįsta,</w:t>
      </w:r>
      <w:r w:rsidR="00FB3D73">
        <w:rPr>
          <w:szCs w:val="24"/>
        </w:rPr>
        <w:t xml:space="preserve"> gimnazijos kultūra. 2024  m.</w:t>
      </w:r>
      <w:r w:rsidR="0017649E" w:rsidRPr="0017649E">
        <w:rPr>
          <w:szCs w:val="24"/>
        </w:rPr>
        <w:t xml:space="preserve"> tikslai ir uždaviniai buvo orientuoti  į ugdymo(si) kokybės gerinimą, mokinio  asmeninę ūgtį, mokytojų kompetencijų ugdymą dirbant su įvairių gebėjimų mokiniais, rezultatų gerinimą bei tikslingą karjeros planavimą.</w:t>
      </w:r>
    </w:p>
    <w:p w:rsidR="0017649E" w:rsidRPr="0017649E" w:rsidRDefault="0017649E" w:rsidP="0017649E">
      <w:pPr>
        <w:tabs>
          <w:tab w:val="left" w:pos="993"/>
        </w:tabs>
        <w:suppressAutoHyphens/>
        <w:jc w:val="both"/>
        <w:textAlignment w:val="baseline"/>
        <w:rPr>
          <w:rFonts w:eastAsia="Calibri"/>
          <w:bCs/>
          <w:lang w:eastAsia="lt-LT"/>
        </w:rPr>
      </w:pPr>
      <w:r>
        <w:rPr>
          <w:rFonts w:eastAsia="Calibri"/>
          <w:bCs/>
          <w:i/>
          <w:lang w:eastAsia="lt-LT"/>
        </w:rPr>
        <w:tab/>
      </w:r>
      <w:r w:rsidRPr="0017649E">
        <w:rPr>
          <w:rFonts w:eastAsia="Calibri"/>
          <w:bCs/>
          <w:lang w:eastAsia="lt-LT"/>
        </w:rPr>
        <w:t xml:space="preserve">2023-2024 m. m. gimnazijoje mokėsi 653 mokiniai: I kl. – 6 komplektai – 180 mokinių, II kl. – 5 komplektai – 146 mokiniai, III kl. – 6 komplektai – 170 mokinių, IV kl. – 6 komplektai – 157 mokiniai. Mokslo metus baigė 645  mokiniai. Pagrindinio ugdymo programą baigė ir pagrindinį išsilavinimą </w:t>
      </w:r>
      <w:r w:rsidR="00FB3D73" w:rsidRPr="0017649E">
        <w:rPr>
          <w:rFonts w:eastAsia="Calibri"/>
          <w:bCs/>
          <w:lang w:eastAsia="lt-LT"/>
        </w:rPr>
        <w:t xml:space="preserve">įgijo </w:t>
      </w:r>
      <w:r w:rsidRPr="0017649E">
        <w:rPr>
          <w:rFonts w:eastAsia="Calibri"/>
          <w:bCs/>
          <w:lang w:eastAsia="lt-LT"/>
        </w:rPr>
        <w:t>147 gimnazistai. Vidurinio ugdymo programą baigė ir vidurinį išsilavinimą įgijo 155 abiturientai.</w:t>
      </w:r>
    </w:p>
    <w:p w:rsidR="00EA2368" w:rsidRDefault="00FB3D73" w:rsidP="0017649E">
      <w:pPr>
        <w:tabs>
          <w:tab w:val="left" w:pos="993"/>
        </w:tabs>
        <w:suppressAutoHyphens/>
        <w:jc w:val="both"/>
        <w:textAlignment w:val="baseline"/>
        <w:rPr>
          <w:rFonts w:eastAsia="Calibri"/>
          <w:bCs/>
          <w:lang w:eastAsia="lt-LT"/>
        </w:rPr>
      </w:pPr>
      <w:r>
        <w:rPr>
          <w:rFonts w:eastAsia="Calibri"/>
          <w:bCs/>
          <w:lang w:eastAsia="lt-LT"/>
        </w:rPr>
        <w:tab/>
      </w:r>
      <w:r w:rsidR="0017649E" w:rsidRPr="0017649E">
        <w:rPr>
          <w:rFonts w:eastAsia="Calibri"/>
          <w:bCs/>
          <w:lang w:eastAsia="lt-LT"/>
        </w:rPr>
        <w:t xml:space="preserve">Labai gerai mokėsi 63 </w:t>
      </w:r>
      <w:r w:rsidR="0017649E">
        <w:rPr>
          <w:rFonts w:eastAsia="Calibri"/>
          <w:bCs/>
          <w:lang w:eastAsia="lt-LT"/>
        </w:rPr>
        <w:t xml:space="preserve">(2022-2023 m.m. – 47) </w:t>
      </w:r>
      <w:r w:rsidR="0017649E" w:rsidRPr="0017649E">
        <w:rPr>
          <w:rFonts w:eastAsia="Calibri"/>
          <w:bCs/>
          <w:lang w:eastAsia="lt-LT"/>
        </w:rPr>
        <w:t>gimnazistai: 6 iš jų – vienais dešimtukais</w:t>
      </w:r>
      <w:r w:rsidR="00DA6AFC">
        <w:rPr>
          <w:rFonts w:eastAsia="Calibri"/>
          <w:bCs/>
          <w:lang w:eastAsia="lt-LT"/>
        </w:rPr>
        <w:t xml:space="preserve"> (</w:t>
      </w:r>
      <w:r w:rsidR="00D837E5">
        <w:rPr>
          <w:rFonts w:eastAsia="Calibri"/>
          <w:bCs/>
          <w:lang w:eastAsia="lt-LT"/>
        </w:rPr>
        <w:t>2022-2023 m.</w:t>
      </w:r>
      <w:r w:rsidR="007A1B4C">
        <w:rPr>
          <w:rFonts w:eastAsia="Calibri"/>
          <w:bCs/>
          <w:lang w:eastAsia="lt-LT"/>
        </w:rPr>
        <w:t xml:space="preserve"> </w:t>
      </w:r>
      <w:r w:rsidR="00D837E5">
        <w:rPr>
          <w:rFonts w:eastAsia="Calibri"/>
          <w:bCs/>
          <w:lang w:eastAsia="lt-LT"/>
        </w:rPr>
        <w:t>m. – 2)</w:t>
      </w:r>
      <w:r w:rsidR="0017649E" w:rsidRPr="0017649E">
        <w:rPr>
          <w:rFonts w:eastAsia="Calibri"/>
          <w:bCs/>
          <w:lang w:eastAsia="lt-LT"/>
        </w:rPr>
        <w:t>.  I-II klasėse buvo 34 mokslo pirmūnai, III-IV klasėse – 29. Mokymosi pažymių vidurkis gimnazijoje  – 8,2. Bendras pažangumas – 98,67 %  (I klasių – 97,7 %, II klasių – 100 %, III klasių – 96,98 %, IV klasių – 100 %).</w:t>
      </w:r>
    </w:p>
    <w:p w:rsidR="00D837E5"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Per pastaruosius 3 mokslo metus  mokinių skaičius augo, pažanguma</w:t>
      </w:r>
      <w:r w:rsidR="00DA6AFC">
        <w:rPr>
          <w:rFonts w:eastAsia="Calibri"/>
          <w:bCs/>
          <w:lang w:eastAsia="lt-LT"/>
        </w:rPr>
        <w:t xml:space="preserve">s išliko stabilus – 98-99 proc. </w:t>
      </w:r>
      <w:r w:rsidRPr="00D837E5">
        <w:rPr>
          <w:rFonts w:eastAsia="Calibri"/>
          <w:bCs/>
          <w:lang w:eastAsia="lt-LT"/>
        </w:rPr>
        <w:t xml:space="preserve">gimnazijos mokinių pasiekimų vidurkis  didėjo nuo 8,07 2021-2022 m. m. iki 8,2 2023-2024 m. m. </w:t>
      </w:r>
    </w:p>
    <w:p w:rsidR="006B2B58" w:rsidRDefault="006B2B58" w:rsidP="00D837E5">
      <w:pPr>
        <w:tabs>
          <w:tab w:val="left" w:pos="993"/>
        </w:tabs>
        <w:suppressAutoHyphens/>
        <w:jc w:val="both"/>
        <w:textAlignment w:val="baseline"/>
        <w:rPr>
          <w:rFonts w:eastAsia="Calibri"/>
          <w:bCs/>
          <w:lang w:eastAsia="lt-LT"/>
        </w:rPr>
      </w:pPr>
    </w:p>
    <w:p w:rsidR="00534DC7" w:rsidRDefault="00534DC7" w:rsidP="00D837E5">
      <w:pPr>
        <w:tabs>
          <w:tab w:val="left" w:pos="993"/>
        </w:tabs>
        <w:suppressAutoHyphens/>
        <w:jc w:val="both"/>
        <w:textAlignment w:val="baseline"/>
        <w:rPr>
          <w:rFonts w:eastAsia="Calibri"/>
          <w:bCs/>
          <w:lang w:eastAsia="lt-LT"/>
        </w:rPr>
      </w:pPr>
      <w:r>
        <w:rPr>
          <w:rFonts w:eastAsia="Calibri"/>
          <w:bCs/>
          <w:noProof/>
          <w:lang w:eastAsia="lt-LT"/>
        </w:rPr>
        <w:lastRenderedPageBreak/>
        <w:drawing>
          <wp:inline distT="0" distB="0" distL="0" distR="0" wp14:anchorId="555F6507" wp14:editId="4A6F8268">
            <wp:extent cx="3508329" cy="20288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2377" cy="2036949"/>
                    </a:xfrm>
                    <a:prstGeom prst="rect">
                      <a:avLst/>
                    </a:prstGeom>
                    <a:noFill/>
                  </pic:spPr>
                </pic:pic>
              </a:graphicData>
            </a:graphic>
          </wp:inline>
        </w:drawing>
      </w:r>
    </w:p>
    <w:p w:rsidR="00534DC7" w:rsidRPr="00D837E5" w:rsidRDefault="00534DC7" w:rsidP="00D837E5">
      <w:pPr>
        <w:tabs>
          <w:tab w:val="left" w:pos="993"/>
        </w:tabs>
        <w:suppressAutoHyphens/>
        <w:jc w:val="both"/>
        <w:textAlignment w:val="baseline"/>
        <w:rPr>
          <w:rFonts w:eastAsia="Calibri"/>
          <w:bCs/>
          <w:lang w:eastAsia="lt-LT"/>
        </w:rPr>
      </w:pPr>
    </w:p>
    <w:p w:rsidR="00D837E5" w:rsidRPr="0017649E"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2023-2024 m. m. pagrindinio ugdymo pasiekimų patikrinimai vyko elektroniniu būdu. Patikrinimuose dalyvavo 147 II-ų klasių mokiniai. Lietuvių kalbos ir literatūros aukštesnįjį lygį pasiekė 27 mokiniai (18,4 %), pagrindinį lygį -  114 mokinių (77,6 %), patenkinamą lygį -  6 mokiniai (4,1 %). Matematikos aukštesnįjį lygį pasiekė 14 mokinių (9,5 %), pagrindinį lygį -  85 mokiniai (57,8 %), patenkinamą lygį - 35 mokiniai (23,8 %), nepasiekė patenkinamo lygio</w:t>
      </w:r>
      <w:r w:rsidR="003E3872">
        <w:rPr>
          <w:rFonts w:eastAsia="Calibri"/>
          <w:bCs/>
          <w:lang w:eastAsia="lt-LT"/>
        </w:rPr>
        <w:t xml:space="preserve"> 13 mokinių (8,8 %). Lietuvių kalbos ir literatūros</w:t>
      </w:r>
      <w:r w:rsidRPr="00D837E5">
        <w:rPr>
          <w:rFonts w:eastAsia="Calibri"/>
          <w:bCs/>
          <w:lang w:eastAsia="lt-LT"/>
        </w:rPr>
        <w:t xml:space="preserve"> PUPP išlaikė  100 % mokinių, t. y. 4,6 % geriau už šalies išlaikymo vidurkį.  Surinktų taškų vidurkis (52,9) aukštesnis už šalies vidurkį (47,8). Lyginant 2022-2023</w:t>
      </w:r>
      <w:r w:rsidR="003167AC">
        <w:rPr>
          <w:rFonts w:eastAsia="Calibri"/>
          <w:bCs/>
          <w:lang w:eastAsia="lt-LT"/>
        </w:rPr>
        <w:t xml:space="preserve">m. m. </w:t>
      </w:r>
      <w:r w:rsidRPr="00D837E5">
        <w:rPr>
          <w:rFonts w:eastAsia="Calibri"/>
          <w:bCs/>
          <w:lang w:eastAsia="lt-LT"/>
        </w:rPr>
        <w:t xml:space="preserve"> ir 2023-2024 m. m. rezultatus, aukštesniojo ir pagrindinio lygio įvertinimų padaugėjo 21,4 %. Matematikos PUPP išlaikė 91,2 %, t.y. beveik 15 % geriau už šalies išlaikymo vidurkį. Surinktų taškų vidurkis (26,04) aukštesnis už šalies vidurkį (22,4). Lyginant 2022-2023</w:t>
      </w:r>
      <w:r w:rsidR="003167AC">
        <w:rPr>
          <w:rFonts w:eastAsia="Calibri"/>
          <w:bCs/>
          <w:lang w:eastAsia="lt-LT"/>
        </w:rPr>
        <w:t xml:space="preserve"> m. m. </w:t>
      </w:r>
      <w:r w:rsidRPr="00D837E5">
        <w:rPr>
          <w:rFonts w:eastAsia="Calibri"/>
          <w:bCs/>
          <w:lang w:eastAsia="lt-LT"/>
        </w:rPr>
        <w:t xml:space="preserve"> ir 2023-2024 m. m. rezultatus, aukštesniojo ir pagrindinio lygio įvertinimų padaugėjo 17,3 %. 12 % mažiau nepasiekusių patenkinamo lygio.</w:t>
      </w:r>
    </w:p>
    <w:p w:rsidR="00D837E5" w:rsidRDefault="00D837E5" w:rsidP="00D837E5">
      <w:pPr>
        <w:tabs>
          <w:tab w:val="left" w:pos="993"/>
        </w:tabs>
        <w:suppressAutoHyphens/>
        <w:jc w:val="both"/>
        <w:textAlignment w:val="baseline"/>
        <w:rPr>
          <w:rFonts w:eastAsia="Calibri"/>
          <w:bCs/>
          <w:lang w:eastAsia="lt-LT"/>
        </w:rPr>
      </w:pPr>
      <w:r>
        <w:rPr>
          <w:rFonts w:eastAsia="Calibri"/>
          <w:bCs/>
          <w:i/>
          <w:lang w:eastAsia="lt-LT"/>
        </w:rPr>
        <w:tab/>
      </w:r>
      <w:r w:rsidR="003167AC">
        <w:rPr>
          <w:rFonts w:eastAsia="Calibri"/>
          <w:bCs/>
          <w:lang w:eastAsia="lt-LT"/>
        </w:rPr>
        <w:t>2024 m.</w:t>
      </w:r>
      <w:r w:rsidRPr="00D837E5">
        <w:rPr>
          <w:rFonts w:eastAsia="Calibri"/>
          <w:bCs/>
          <w:lang w:eastAsia="lt-LT"/>
        </w:rPr>
        <w:t xml:space="preserve">  visų dalykų brandos egzaminų, išskyrus matematikos ir biologijos, išlaikymo procentas yra didesnis už Lietuvos</w:t>
      </w:r>
      <w:r w:rsidR="003167AC">
        <w:rPr>
          <w:rFonts w:eastAsia="Calibri"/>
          <w:bCs/>
          <w:lang w:eastAsia="lt-LT"/>
        </w:rPr>
        <w:t xml:space="preserve"> išlaikymo procentą. Lietuvių kalbos ir literatūros, anglų kalbos</w:t>
      </w:r>
      <w:r w:rsidRPr="00D837E5">
        <w:rPr>
          <w:rFonts w:eastAsia="Calibri"/>
          <w:bCs/>
          <w:lang w:eastAsia="lt-LT"/>
        </w:rPr>
        <w:t xml:space="preserve">, istorijos, geografijos, biologijos, chemijos ir fizikos VBE įvertinimų vidurkiai yra aukštesni už bendrus šalies vidurkius. Rusų k., matematikos, informacinių technologijų VBE įvertinimų vidurkiai yra žemesni už bendrus šalies vidurkius. </w:t>
      </w:r>
    </w:p>
    <w:p w:rsidR="006B2B58" w:rsidRDefault="006B2B58" w:rsidP="00D837E5">
      <w:pPr>
        <w:tabs>
          <w:tab w:val="left" w:pos="993"/>
        </w:tabs>
        <w:suppressAutoHyphens/>
        <w:jc w:val="both"/>
        <w:textAlignment w:val="baseline"/>
        <w:rPr>
          <w:rFonts w:eastAsia="Calibri"/>
          <w:bCs/>
          <w:lang w:eastAsia="lt-LT"/>
        </w:rPr>
      </w:pPr>
    </w:p>
    <w:p w:rsidR="00EE1FFE" w:rsidRDefault="00EE1FFE" w:rsidP="00D837E5">
      <w:pPr>
        <w:tabs>
          <w:tab w:val="left" w:pos="993"/>
        </w:tabs>
        <w:suppressAutoHyphens/>
        <w:jc w:val="both"/>
        <w:textAlignment w:val="baseline"/>
        <w:rPr>
          <w:rFonts w:eastAsia="Calibri"/>
          <w:bCs/>
          <w:lang w:eastAsia="lt-LT"/>
        </w:rPr>
      </w:pPr>
      <w:r>
        <w:rPr>
          <w:rFonts w:eastAsia="Calibri"/>
          <w:bCs/>
          <w:noProof/>
          <w:lang w:eastAsia="lt-LT"/>
        </w:rPr>
        <w:drawing>
          <wp:inline distT="0" distB="0" distL="0" distR="0" wp14:anchorId="0252D692" wp14:editId="7B3E28A3">
            <wp:extent cx="3501907" cy="210502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8694" cy="2115116"/>
                    </a:xfrm>
                    <a:prstGeom prst="rect">
                      <a:avLst/>
                    </a:prstGeom>
                    <a:noFill/>
                  </pic:spPr>
                </pic:pic>
              </a:graphicData>
            </a:graphic>
          </wp:inline>
        </w:drawing>
      </w:r>
    </w:p>
    <w:p w:rsidR="00EE1FFE" w:rsidRDefault="00EE1FFE" w:rsidP="00D837E5">
      <w:pPr>
        <w:tabs>
          <w:tab w:val="left" w:pos="993"/>
        </w:tabs>
        <w:suppressAutoHyphens/>
        <w:jc w:val="both"/>
        <w:textAlignment w:val="baseline"/>
        <w:rPr>
          <w:rFonts w:eastAsia="Calibri"/>
          <w:bCs/>
          <w:lang w:eastAsia="lt-LT"/>
        </w:rPr>
      </w:pPr>
    </w:p>
    <w:p w:rsidR="00D837E5"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Vidutinis visų valstybinių brandos egzaminų įvertinimų vidurkis  –  48,4</w:t>
      </w:r>
      <w:r>
        <w:rPr>
          <w:rFonts w:eastAsia="Calibri"/>
          <w:bCs/>
          <w:lang w:eastAsia="lt-LT"/>
        </w:rPr>
        <w:t xml:space="preserve"> (2022-2023 m. m. – </w:t>
      </w:r>
      <w:r w:rsidRPr="00D837E5">
        <w:rPr>
          <w:rFonts w:eastAsia="Calibri"/>
          <w:bCs/>
          <w:lang w:eastAsia="lt-LT"/>
        </w:rPr>
        <w:t>44,09</w:t>
      </w:r>
      <w:r>
        <w:rPr>
          <w:rFonts w:eastAsia="Calibri"/>
          <w:bCs/>
          <w:lang w:eastAsia="lt-LT"/>
        </w:rPr>
        <w:t>)</w:t>
      </w:r>
      <w:r w:rsidRPr="00D837E5">
        <w:rPr>
          <w:rFonts w:eastAsia="Calibri"/>
          <w:bCs/>
          <w:lang w:eastAsia="lt-LT"/>
        </w:rPr>
        <w:t xml:space="preserve">, savivaldybės mokyklų – 41,8, šalies – 48,1. </w:t>
      </w:r>
    </w:p>
    <w:p w:rsidR="009677AB"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2024 metais 4 abiturientai gavo 100 balų</w:t>
      </w:r>
      <w:r w:rsidR="00921D87">
        <w:rPr>
          <w:rFonts w:eastAsia="Calibri"/>
          <w:bCs/>
          <w:lang w:eastAsia="lt-LT"/>
        </w:rPr>
        <w:t xml:space="preserve"> VBE įvertinimus:  iš anglų kalbos</w:t>
      </w:r>
      <w:r w:rsidRPr="00D837E5">
        <w:rPr>
          <w:rFonts w:eastAsia="Calibri"/>
          <w:bCs/>
          <w:lang w:eastAsia="lt-LT"/>
        </w:rPr>
        <w:t xml:space="preserve">  </w:t>
      </w:r>
      <w:r w:rsidR="00921D87">
        <w:rPr>
          <w:rFonts w:eastAsia="Calibri"/>
          <w:bCs/>
          <w:lang w:eastAsia="lt-LT"/>
        </w:rPr>
        <w:t>(2), biologijos (1), lietuvių kalbos ir literatūros</w:t>
      </w:r>
      <w:r w:rsidRPr="00D837E5">
        <w:rPr>
          <w:rFonts w:eastAsia="Calibri"/>
          <w:bCs/>
          <w:lang w:eastAsia="lt-LT"/>
        </w:rPr>
        <w:t xml:space="preserve"> (1) valstybinių brandos egzaminų.  </w:t>
      </w:r>
    </w:p>
    <w:p w:rsidR="00D837E5" w:rsidRPr="00D837E5" w:rsidRDefault="00D837E5" w:rsidP="00D837E5">
      <w:pPr>
        <w:tabs>
          <w:tab w:val="left" w:pos="993"/>
        </w:tabs>
        <w:suppressAutoHyphens/>
        <w:jc w:val="both"/>
        <w:textAlignment w:val="baseline"/>
        <w:rPr>
          <w:rFonts w:eastAsia="Calibri"/>
          <w:bCs/>
          <w:lang w:eastAsia="lt-LT"/>
        </w:rPr>
      </w:pPr>
      <w:r w:rsidRPr="00D837E5">
        <w:rPr>
          <w:rFonts w:eastAsia="Calibri"/>
          <w:bCs/>
          <w:lang w:eastAsia="lt-LT"/>
        </w:rPr>
        <w:t xml:space="preserve">                                                                                                                    </w:t>
      </w:r>
    </w:p>
    <w:p w:rsidR="00C61DC1" w:rsidRDefault="009677AB" w:rsidP="00D837E5">
      <w:pPr>
        <w:tabs>
          <w:tab w:val="left" w:pos="993"/>
        </w:tabs>
        <w:suppressAutoHyphens/>
        <w:jc w:val="both"/>
        <w:textAlignment w:val="baseline"/>
        <w:rPr>
          <w:rFonts w:eastAsia="Calibri"/>
          <w:bCs/>
          <w:lang w:eastAsia="lt-LT"/>
        </w:rPr>
      </w:pPr>
      <w:r>
        <w:rPr>
          <w:rFonts w:eastAsia="Calibri"/>
          <w:bCs/>
          <w:noProof/>
          <w:lang w:eastAsia="lt-LT"/>
        </w:rPr>
        <w:lastRenderedPageBreak/>
        <w:drawing>
          <wp:inline distT="0" distB="0" distL="0" distR="0" wp14:anchorId="09440AEC" wp14:editId="0B36C203">
            <wp:extent cx="3600450" cy="2164259"/>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4720" cy="2172837"/>
                    </a:xfrm>
                    <a:prstGeom prst="rect">
                      <a:avLst/>
                    </a:prstGeom>
                    <a:noFill/>
                  </pic:spPr>
                </pic:pic>
              </a:graphicData>
            </a:graphic>
          </wp:inline>
        </w:drawing>
      </w:r>
      <w:r w:rsidR="00D837E5">
        <w:rPr>
          <w:rFonts w:eastAsia="Calibri"/>
          <w:bCs/>
          <w:lang w:eastAsia="lt-LT"/>
        </w:rPr>
        <w:tab/>
      </w:r>
    </w:p>
    <w:p w:rsidR="00C61DC1" w:rsidRDefault="00C61DC1" w:rsidP="00D837E5">
      <w:pPr>
        <w:tabs>
          <w:tab w:val="left" w:pos="993"/>
        </w:tabs>
        <w:suppressAutoHyphens/>
        <w:jc w:val="both"/>
        <w:textAlignment w:val="baseline"/>
        <w:rPr>
          <w:rFonts w:eastAsia="Calibri"/>
          <w:bCs/>
          <w:lang w:eastAsia="lt-LT"/>
        </w:rPr>
      </w:pPr>
    </w:p>
    <w:p w:rsidR="00D837E5" w:rsidRDefault="006B2B58" w:rsidP="00D837E5">
      <w:pPr>
        <w:tabs>
          <w:tab w:val="left" w:pos="993"/>
        </w:tabs>
        <w:suppressAutoHyphens/>
        <w:jc w:val="both"/>
        <w:textAlignment w:val="baseline"/>
        <w:rPr>
          <w:rFonts w:eastAsia="Calibri"/>
          <w:bCs/>
          <w:lang w:eastAsia="lt-LT"/>
        </w:rPr>
      </w:pPr>
      <w:r>
        <w:rPr>
          <w:rFonts w:eastAsia="Calibri"/>
          <w:bCs/>
          <w:lang w:eastAsia="lt-LT"/>
        </w:rPr>
        <w:tab/>
      </w:r>
      <w:r w:rsidR="00BB186A">
        <w:rPr>
          <w:rFonts w:eastAsia="Calibri"/>
          <w:bCs/>
          <w:lang w:eastAsia="lt-LT"/>
        </w:rPr>
        <w:t>2024 m.</w:t>
      </w:r>
      <w:r w:rsidR="00D837E5" w:rsidRPr="00D837E5">
        <w:rPr>
          <w:rFonts w:eastAsia="Calibri"/>
          <w:bCs/>
          <w:lang w:eastAsia="lt-LT"/>
        </w:rPr>
        <w:t xml:space="preserve"> gimnaziją baigė 155 abiturientai. Visi gavo brandos atestatus. 109 abiturientai (70,3 %) įstojo mokytis į Lietuvos universitetus, kolegijas ir profesines mokyklas. Iš jų 70 abiturientų (64,2 %) pasirinko studijas Lietuvos universitet</w:t>
      </w:r>
      <w:r w:rsidR="00DA6AFC">
        <w:rPr>
          <w:rFonts w:eastAsia="Calibri"/>
          <w:bCs/>
          <w:lang w:eastAsia="lt-LT"/>
        </w:rPr>
        <w:t xml:space="preserve">uose, 31 abiturientas (28,4 %) </w:t>
      </w:r>
      <w:r w:rsidR="00DA6AFC" w:rsidRPr="00DA6AFC">
        <w:rPr>
          <w:rFonts w:eastAsia="Calibri"/>
          <w:bCs/>
          <w:lang w:eastAsia="lt-LT"/>
        </w:rPr>
        <w:t xml:space="preserve">– </w:t>
      </w:r>
      <w:r w:rsidR="00DA6AFC">
        <w:rPr>
          <w:rFonts w:eastAsia="Calibri"/>
          <w:bCs/>
          <w:lang w:eastAsia="lt-LT"/>
        </w:rPr>
        <w:t xml:space="preserve"> </w:t>
      </w:r>
      <w:r w:rsidR="00D837E5" w:rsidRPr="00D837E5">
        <w:rPr>
          <w:rFonts w:eastAsia="Calibri"/>
          <w:bCs/>
          <w:lang w:eastAsia="lt-LT"/>
        </w:rPr>
        <w:t xml:space="preserve"> Lietuvos koleg</w:t>
      </w:r>
      <w:r w:rsidR="00DA6AFC">
        <w:rPr>
          <w:rFonts w:eastAsia="Calibri"/>
          <w:bCs/>
          <w:lang w:eastAsia="lt-LT"/>
        </w:rPr>
        <w:t xml:space="preserve">ijose, 6 abiturientai (5,5 %) </w:t>
      </w:r>
      <w:r w:rsidR="00DA6AFC" w:rsidRPr="00DA6AFC">
        <w:rPr>
          <w:rFonts w:eastAsia="Calibri"/>
          <w:bCs/>
          <w:lang w:eastAsia="lt-LT"/>
        </w:rPr>
        <w:t xml:space="preserve">– </w:t>
      </w:r>
      <w:r w:rsidR="00DA6AFC">
        <w:rPr>
          <w:rFonts w:eastAsia="Calibri"/>
          <w:bCs/>
          <w:lang w:eastAsia="lt-LT"/>
        </w:rPr>
        <w:t xml:space="preserve"> </w:t>
      </w:r>
      <w:r w:rsidR="00D837E5" w:rsidRPr="00D837E5">
        <w:rPr>
          <w:rFonts w:eastAsia="Calibri"/>
          <w:bCs/>
          <w:lang w:eastAsia="lt-LT"/>
        </w:rPr>
        <w:t xml:space="preserve"> profesinėse mokyklose ir mokymo centruose, 2 abiturientai (1,8 %) išvyko mokytis į užsienio universitetus. 79,8 % abiturientų įstojo į valstybės finansuojamas vietas, o 20,2 % įstojo į mokamas studijas.</w:t>
      </w:r>
    </w:p>
    <w:p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Užtikrinant gabių vaikų ugdymą buvo sudaromos sąlygos jiems daly</w:t>
      </w:r>
      <w:r w:rsidR="00277327">
        <w:rPr>
          <w:rFonts w:eastAsia="Calibri"/>
          <w:bCs/>
          <w:lang w:eastAsia="lt-LT"/>
        </w:rPr>
        <w:t xml:space="preserve">vauti olimpiadose, konkursuose, </w:t>
      </w:r>
      <w:r w:rsidRPr="00995216">
        <w:rPr>
          <w:rFonts w:eastAsia="Calibri"/>
          <w:bCs/>
          <w:lang w:eastAsia="lt-LT"/>
        </w:rPr>
        <w:t xml:space="preserve">projektuose, neformalaus švietimo būreliuose. Gimnazijoje </w:t>
      </w:r>
      <w:r>
        <w:rPr>
          <w:rFonts w:eastAsia="Calibri"/>
          <w:bCs/>
          <w:lang w:eastAsia="lt-LT"/>
        </w:rPr>
        <w:t xml:space="preserve">2024 m. buvo </w:t>
      </w:r>
      <w:r w:rsidRPr="00995216">
        <w:rPr>
          <w:rFonts w:eastAsia="Calibri"/>
          <w:bCs/>
          <w:lang w:eastAsia="lt-LT"/>
        </w:rPr>
        <w:t>vykdoma 30 nef</w:t>
      </w:r>
      <w:r w:rsidR="00277327">
        <w:rPr>
          <w:rFonts w:eastAsia="Calibri"/>
          <w:bCs/>
          <w:lang w:eastAsia="lt-LT"/>
        </w:rPr>
        <w:t>ormaliojo švietimo programų: 5 meninės, 7 sportinės, 3 etnokultūrinės/ kraštotyros,  8 socialinės, pilietiškumo, 3 techninės kūrybos, 1 humanitarinės, 2 STEAM</w:t>
      </w:r>
      <w:r w:rsidRPr="00995216">
        <w:rPr>
          <w:rFonts w:eastAsia="Calibri"/>
          <w:bCs/>
          <w:lang w:eastAsia="lt-LT"/>
        </w:rPr>
        <w:t>.  Neformalaus švietimo programų sąrašą papildė   ekologijos ir tvarumo neformaliojo švietimo programa   ,,Žalėjimas – tvari įtrauktis (Going Green – Sustainable Inclusion)“.  Neformaliojo šviet</w:t>
      </w:r>
      <w:r w:rsidR="00277327">
        <w:rPr>
          <w:rFonts w:eastAsia="Calibri"/>
          <w:bCs/>
          <w:lang w:eastAsia="lt-LT"/>
        </w:rPr>
        <w:t>imo programas lankė 261 mokinys</w:t>
      </w:r>
      <w:r w:rsidRPr="00995216">
        <w:rPr>
          <w:rFonts w:eastAsia="Calibri"/>
          <w:bCs/>
          <w:lang w:eastAsia="lt-LT"/>
        </w:rPr>
        <w:t>.</w:t>
      </w:r>
    </w:p>
    <w:p w:rsidR="00995216" w:rsidRP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 xml:space="preserve">2023-2024 m. m. 166 mokiniai dalyvavo rajoninėse ir respublikinėse olimpiadose. Užimtos 82 prizinės vietos (I vieta – 25, II vieta – 27, III vieta – 30), iš jų  – 3 respublikiniai laimėjimai ir 1 tarptautinis. </w:t>
      </w:r>
    </w:p>
    <w:p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Siekiant užtikrinti mokiniams pagalbą mokantis, skirtos konsultavimo valandos, atsižvelgiant į VBE ir PUPP rezultatus bei mokinių individualizuotus poreikius. Parengtas konsultacijų tvarkaraštis. Per 2024 m. konsultacijoms išnaudota 1680 val. Konsultacijose dalyvavo 6767 mokiniai. Daugiausia gimnazistų lankė matematikos konsultacijas (3521 mok.), lietuvių k. ir lit. (833 mok.), anglų k. (500 mok.).</w:t>
      </w:r>
    </w:p>
    <w:p w:rsidR="00C61DC1" w:rsidRDefault="00C61DC1" w:rsidP="00995216">
      <w:pPr>
        <w:tabs>
          <w:tab w:val="left" w:pos="993"/>
        </w:tabs>
        <w:suppressAutoHyphens/>
        <w:jc w:val="both"/>
        <w:textAlignment w:val="baseline"/>
        <w:rPr>
          <w:rFonts w:eastAsia="Calibri"/>
          <w:bCs/>
          <w:lang w:eastAsia="lt-LT"/>
        </w:rPr>
      </w:pPr>
    </w:p>
    <w:p w:rsidR="00FF08F9" w:rsidRDefault="00094EBD" w:rsidP="00995216">
      <w:pPr>
        <w:tabs>
          <w:tab w:val="left" w:pos="993"/>
        </w:tabs>
        <w:suppressAutoHyphens/>
        <w:jc w:val="both"/>
        <w:textAlignment w:val="baseline"/>
        <w:rPr>
          <w:rFonts w:eastAsia="Calibri"/>
          <w:bCs/>
          <w:lang w:eastAsia="lt-LT"/>
        </w:rPr>
      </w:pPr>
      <w:r>
        <w:rPr>
          <w:rFonts w:eastAsia="Calibri"/>
          <w:bCs/>
          <w:noProof/>
          <w:lang w:eastAsia="lt-LT"/>
        </w:rPr>
        <w:drawing>
          <wp:inline distT="0" distB="0" distL="0" distR="0" wp14:anchorId="61993DAE">
            <wp:extent cx="3600450" cy="2164259"/>
            <wp:effectExtent l="0" t="0" r="0" b="762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7444" cy="2180485"/>
                    </a:xfrm>
                    <a:prstGeom prst="rect">
                      <a:avLst/>
                    </a:prstGeom>
                    <a:noFill/>
                  </pic:spPr>
                </pic:pic>
              </a:graphicData>
            </a:graphic>
          </wp:inline>
        </w:drawing>
      </w:r>
    </w:p>
    <w:p w:rsidR="00C61DC1" w:rsidRDefault="00C61DC1" w:rsidP="00995216">
      <w:pPr>
        <w:tabs>
          <w:tab w:val="left" w:pos="993"/>
        </w:tabs>
        <w:suppressAutoHyphens/>
        <w:jc w:val="both"/>
        <w:textAlignment w:val="baseline"/>
        <w:rPr>
          <w:rFonts w:eastAsia="Calibri"/>
          <w:bCs/>
          <w:lang w:eastAsia="lt-LT"/>
        </w:rPr>
      </w:pPr>
    </w:p>
    <w:p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 xml:space="preserve">Siekiant kiekvieno mokinio pažangos, identifikuojamos priežastys, dėl kurių  mokiniui nepavyksta padaryti pažangos, vyksta individualūs pokalbiai su mokytojais, klasių vadovais, socialiniu pedagogu, organizuojamos dalykinės konsultacijos. Analizuojamos pamokų nelankymo priežastys, siūloma pagalba, organizuojami Vaiko gerovės posėdžiai, į kuriuos kviečiami mokinių tėvai ir kartu su mokančiais mokytojais bei klasių vadovais sprendžiamos mokiniams kylančios </w:t>
      </w:r>
      <w:r w:rsidRPr="00995216">
        <w:rPr>
          <w:rFonts w:eastAsia="Calibri"/>
          <w:bCs/>
          <w:lang w:eastAsia="lt-LT"/>
        </w:rPr>
        <w:lastRenderedPageBreak/>
        <w:t>problemos. 2024 m. buvo organizuota 13 VGK posėdžių. Social</w:t>
      </w:r>
      <w:r w:rsidR="00277327">
        <w:rPr>
          <w:rFonts w:eastAsia="Calibri"/>
          <w:bCs/>
          <w:lang w:eastAsia="lt-LT"/>
        </w:rPr>
        <w:t xml:space="preserve">inė pedagogė su gimnazistais </w:t>
      </w:r>
      <w:r w:rsidRPr="00995216">
        <w:rPr>
          <w:rFonts w:eastAsia="Calibri"/>
          <w:bCs/>
          <w:lang w:eastAsia="lt-LT"/>
        </w:rPr>
        <w:t>vedė 124 pokalbius, su gimnazistų tėveliais – 23 pokalbius.</w:t>
      </w:r>
    </w:p>
    <w:p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 xml:space="preserve">Rūpinantis mokinių sveikata ir saugumu, įvestas mokytojų budėjimas pertraukų metu. Mokiniams organizuojami susitikimai su sveikatos biuro specialiste, </w:t>
      </w:r>
      <w:r w:rsidR="00C145E5">
        <w:rPr>
          <w:rFonts w:eastAsia="Calibri"/>
          <w:bCs/>
          <w:lang w:eastAsia="lt-LT"/>
        </w:rPr>
        <w:t xml:space="preserve">policijos atstovais, </w:t>
      </w:r>
      <w:r w:rsidRPr="00995216">
        <w:rPr>
          <w:rFonts w:eastAsia="Calibri"/>
          <w:bCs/>
          <w:lang w:eastAsia="lt-LT"/>
        </w:rPr>
        <w:t>įvairiais lektoriais. Mokiniai turėjo nuotolinę paskaitą su Klaipėdos apygard</w:t>
      </w:r>
      <w:r w:rsidR="00C145E5">
        <w:rPr>
          <w:rFonts w:eastAsia="Calibri"/>
          <w:bCs/>
          <w:lang w:eastAsia="lt-LT"/>
        </w:rPr>
        <w:t xml:space="preserve">os prokuratūros prokurore, </w:t>
      </w:r>
      <w:r w:rsidRPr="00995216">
        <w:rPr>
          <w:rFonts w:eastAsia="Calibri"/>
          <w:bCs/>
          <w:lang w:eastAsia="lt-LT"/>
        </w:rPr>
        <w:t>dirba</w:t>
      </w:r>
      <w:r w:rsidR="00C145E5">
        <w:rPr>
          <w:rFonts w:eastAsia="Calibri"/>
          <w:bCs/>
          <w:lang w:eastAsia="lt-LT"/>
        </w:rPr>
        <w:t>nčia</w:t>
      </w:r>
      <w:r w:rsidRPr="00995216">
        <w:rPr>
          <w:rFonts w:eastAsia="Calibri"/>
          <w:bCs/>
          <w:lang w:eastAsia="lt-LT"/>
        </w:rPr>
        <w:t xml:space="preserve"> nepilnamečių justicijos srityje. Organizuota nuotolinė paskaita tėvams „Elektroninės cigaretės ir paauglys“. Joje informaciją pateikė ir į tėvams rūpestį keliančius klausimus atsakinėjo Plungės visuomenės sveikatos biuro psichologė  ir jaunimo koordinatorė.</w:t>
      </w:r>
    </w:p>
    <w:p w:rsidR="00995216" w:rsidRP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Gimnazijai svarbus mokinys, jo aplinka bei bendruomenės mikroklimatas. Gimnazijoje dirba psichologė, kuri rūpinasi mokinių bei mokytojų savijauta, bendruomenės sklandžiu bendravimu, savalaikiu ir efektyviu problemų sprendimu bendradarbiaujant. Per 2024 m. suteikta 80 individualių konsultacijų mokiniams, sprendžiant elgesio, mokymosi ir emocines problemas; 15 individ</w:t>
      </w:r>
      <w:r w:rsidR="00277327">
        <w:rPr>
          <w:rFonts w:eastAsia="Calibri"/>
          <w:bCs/>
          <w:lang w:eastAsia="lt-LT"/>
        </w:rPr>
        <w:t>ualių konsultacijų mokinių tėvams bei mokytojams. Vyko</w:t>
      </w:r>
      <w:r w:rsidRPr="00995216">
        <w:rPr>
          <w:rFonts w:eastAsia="Calibri"/>
          <w:bCs/>
          <w:lang w:eastAsia="lt-LT"/>
        </w:rPr>
        <w:t xml:space="preserve"> 13 klasės valandėlių mokiniams aktualiomis temomis, pvz.: „Bendravimo kultūra ir smurto apraiškos“, „Paauglystės krizės</w:t>
      </w:r>
      <w:r w:rsidR="00277327">
        <w:rPr>
          <w:rFonts w:eastAsia="Calibri"/>
          <w:bCs/>
          <w:lang w:eastAsia="lt-LT"/>
        </w:rPr>
        <w:t>“, „Adaptacija: „Sveiki atvykę“</w:t>
      </w:r>
      <w:r w:rsidRPr="00995216">
        <w:rPr>
          <w:rFonts w:eastAsia="Calibri"/>
          <w:bCs/>
          <w:lang w:eastAsia="lt-LT"/>
        </w:rPr>
        <w:t xml:space="preserve">, „Emocinis pasirengimas egzaminams“, „Gyvenimo sunkumai“ </w:t>
      </w:r>
      <w:r w:rsidR="00A6725D">
        <w:rPr>
          <w:rFonts w:eastAsia="Calibri"/>
          <w:bCs/>
          <w:lang w:eastAsia="lt-LT"/>
        </w:rPr>
        <w:t>ir kitomis, klasėms aktualiomis</w:t>
      </w:r>
      <w:r w:rsidRPr="00995216">
        <w:rPr>
          <w:rFonts w:eastAsia="Calibri"/>
          <w:bCs/>
          <w:lang w:eastAsia="lt-LT"/>
        </w:rPr>
        <w:t xml:space="preserve"> temomis.</w:t>
      </w:r>
    </w:p>
    <w:p w:rsidR="00995216" w:rsidRP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2024 m. buvo atlikti 2 mokinių adaptacijos tyrimai „Naujai atvykusių mokytis mokinių adaptacijos tyrimas“ sistemoje www.manoapklausa.lt (balandžio 17-29 d. ir lapkričio 4-15 d.). 2024 m. vasario 12 d. - kovo 8 d. gimnazijoje vyko tarptautinis tyrimas TALIS 2024.</w:t>
      </w:r>
    </w:p>
    <w:p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Kiekvienais mokslo metais pagalbos specialistės vykdo veiklas ir akcijas patyčių ir smurto prevencijai: „Kovas - są</w:t>
      </w:r>
      <w:r w:rsidR="00A6725D">
        <w:rPr>
          <w:rFonts w:eastAsia="Calibri"/>
          <w:bCs/>
          <w:lang w:eastAsia="lt-LT"/>
        </w:rPr>
        <w:t xml:space="preserve">moningumo mėnuo“. I e klasei </w:t>
      </w:r>
      <w:r w:rsidRPr="00995216">
        <w:rPr>
          <w:rFonts w:eastAsia="Calibri"/>
          <w:bCs/>
          <w:lang w:eastAsia="lt-LT"/>
        </w:rPr>
        <w:t>vesta paskaita „Sveiki, santykiai! Įtraukiosios strategijos ir metodai, skirti vykdyti smurto jaunimo santykiuose prevenciją".</w:t>
      </w:r>
    </w:p>
    <w:p w:rsidR="00495469" w:rsidRDefault="00495469" w:rsidP="00995216">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Pamokos/ugdomoji veikla organizuota ne tik dalykų kabinetuose, bet ir gimnazijos vidinėse ir išorinėse erdvėse, kitose aplinkose (Plungės Žemaičių dailės muziejuje, Plungės dvaro parke, Plungės rajono savivaldybės viešojoje bibliotekoje, Plungės technologijų ir verslo mokykloje, Plungės specialiojo ugdymo centre ir kt.). Jų metu buvo lavinamos komandinio darbo, kūrybiškumo, kritinio mąstymo, komunikavimo, mokėjimo mokytis kompetencijos, skatinama asmenybės ūgtis, suteikiamos žinios apie karjeros galimybes. Ugdymo procesą organizuojant netradicinėse aplinkose ir netradicinio ugdymo dienų metu, mokiniai buvo skatinami bendrauti ir bendradarbiauti siejant teorines žinias su praktika bei ugdytis socialinį emocinį intelektą. Visos klasės dalyvavo edukacinėse išvykose.</w:t>
      </w:r>
    </w:p>
    <w:p w:rsidR="00495469" w:rsidRDefault="00495469" w:rsidP="00995216">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Kultūros pasui 2024 metais buvo panaudota  9 056 Eur (2023 m. - 8113 Eur).  Dalyvauta edukacinėse programose: ,,Kas mes? Nuo akmens amžiaus iki Kuršių genties“, ,,Kretingos dvaro saldaininė“, ,,Pažink pasaulio instrumentus. Instrumentai, įtraukti į UNESCO nematerialaus paveldo sąrašą“, ,,Susipažinkime – Valdovų rūmų muziejus“, ,,Edukacinė ekskursija „Viduramžių Kauno pirklio istorijos“,  „Vilniaus katedros požemiai ir lobyno istorija“, ,,Streso balionas“ </w:t>
      </w:r>
      <w:r w:rsidR="00A6725D">
        <w:rPr>
          <w:rFonts w:eastAsia="Calibri"/>
          <w:bCs/>
          <w:lang w:eastAsia="lt-LT"/>
        </w:rPr>
        <w:t>, ,,Vilniaus katedros požemiai“</w:t>
      </w:r>
      <w:r w:rsidRPr="00495469">
        <w:rPr>
          <w:rFonts w:eastAsia="Calibri"/>
          <w:bCs/>
          <w:lang w:eastAsia="lt-LT"/>
        </w:rPr>
        <w:t>, ,,Ponų rūmų laisvalaikis“,  ,,Vaisinga meilė“,  ,,Gausiai apdovanotas animacinis d</w:t>
      </w:r>
      <w:r w:rsidR="005D543F">
        <w:rPr>
          <w:rFonts w:eastAsia="Calibri"/>
          <w:bCs/>
          <w:lang w:eastAsia="lt-LT"/>
        </w:rPr>
        <w:t>okumentinis filmas apie tremtį ,,Gyveno Senelis ir bobutė‘</w:t>
      </w:r>
      <w:r w:rsidRPr="00495469">
        <w:rPr>
          <w:rFonts w:eastAsia="Calibri"/>
          <w:bCs/>
          <w:lang w:eastAsia="lt-LT"/>
        </w:rPr>
        <w:t>‘ ir ,,Bohemiškas Vilnius“.</w:t>
      </w:r>
    </w:p>
    <w:p w:rsidR="00495469" w:rsidRDefault="00495469" w:rsidP="00995216">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Plungės ,,Saulės“ gimnazijoje </w:t>
      </w:r>
      <w:r w:rsidR="009F58F0" w:rsidRPr="00495469">
        <w:rPr>
          <w:rFonts w:eastAsia="Calibri"/>
          <w:bCs/>
          <w:lang w:eastAsia="lt-LT"/>
        </w:rPr>
        <w:t xml:space="preserve">Mokinių savivalda </w:t>
      </w:r>
      <w:r w:rsidRPr="00495469">
        <w:rPr>
          <w:rFonts w:eastAsia="Calibri"/>
          <w:bCs/>
          <w:lang w:eastAsia="lt-LT"/>
        </w:rPr>
        <w:t xml:space="preserve">tradiciškai organizavo Mokinių  prezidentūros ir Mokinių prezidento rinkimus. 2024 m. kovo mėn. Mokinių prezidentu buvo išrinktas II </w:t>
      </w:r>
      <w:r w:rsidR="00550E2B">
        <w:rPr>
          <w:rFonts w:eastAsia="Calibri"/>
          <w:bCs/>
          <w:lang w:eastAsia="lt-LT"/>
        </w:rPr>
        <w:t>a klasės mokinys</w:t>
      </w:r>
      <w:r w:rsidR="005D543F">
        <w:rPr>
          <w:rFonts w:eastAsia="Calibri"/>
          <w:bCs/>
          <w:lang w:eastAsia="lt-LT"/>
        </w:rPr>
        <w:t>.</w:t>
      </w:r>
      <w:r w:rsidRPr="00495469">
        <w:rPr>
          <w:rFonts w:eastAsia="Calibri"/>
          <w:bCs/>
          <w:lang w:eastAsia="lt-LT"/>
        </w:rPr>
        <w:t xml:space="preserve"> Mokinių prezidentūros iniciatyva gegužės, rugsėjo ir gruodžio mėnesiais buvo organizuoti  tradiciniai ,,Apvaliojo stalo“ susitikimai su gimnazijos administracija aptarti gimnazijos aktualijas. Bendradarbiaujant su Plungės Jaunimo reikalų taryba, dalyvauta Plungės jaunimo organizacijos renginyje „Naktis savivaldybėje“. Gimnazijos mokinių savivaldos atstovai dalyvavo pilietiškumo renginiuose. Mokinių savivalda gimnazijoje organizavo tradicinius bei inicijavo pramoginius renginius: „Mokytojų diena“, ,,Karnavalas“, „Prezidentadienis“, ,,Spalvų ketvirtadieniai“, ,,Kalėdų šurmulio savaitė“. Buvo organizuota labdaringa akcija ,,Aukok“, kurios metu  surinktos lėšos paaukotos ,,Plungės priglaustukams“.  </w:t>
      </w:r>
    </w:p>
    <w:p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 Ugdymas karjerai buvo vykdomas pagal numatytą veiklos programą, sėkmingai įgyvendinant numatytus tikslus ir uždavinius. Dalykų mokytojai ugdymą karjerai integravo į mokomuosius dalykus, klasių auklėtojai </w:t>
      </w:r>
      <w:r w:rsidR="005D543F">
        <w:rPr>
          <w:rFonts w:eastAsia="Calibri"/>
          <w:bCs/>
          <w:lang w:eastAsia="lt-LT"/>
        </w:rPr>
        <w:t>- į klasių valandėles. Visi I-</w:t>
      </w:r>
      <w:r w:rsidRPr="00495469">
        <w:rPr>
          <w:rFonts w:eastAsia="Calibri"/>
          <w:bCs/>
          <w:lang w:eastAsia="lt-LT"/>
        </w:rPr>
        <w:t xml:space="preserve">IV klasių mokiniai turėjo galimybę išbandyti skaitmeninės ugdymo karjerai platformos „Spotiself“ galimybes, kas  įgalino </w:t>
      </w:r>
      <w:r w:rsidRPr="00495469">
        <w:rPr>
          <w:rFonts w:eastAsia="Calibri"/>
          <w:bCs/>
          <w:lang w:eastAsia="lt-LT"/>
        </w:rPr>
        <w:lastRenderedPageBreak/>
        <w:t>gimnazistus pažinti save, ugdyti sprendimų priėmimo įgūdžius, padedančius priimti asmeninį sprendimą dėl ateities studijų ar profesinės veiklos. Organizuotos  tikslinės mokinių pažintinės bei karjeros ugdymo edukacinės išvykos į Klaipėdos P. Lindenau mokymo centrą, Klaipėdos jūreivystės aukštąją mokyklą, Klaipėdos valstybinę kolegiją, karo laivų flotilę, Lietuvos verslo kolegiją, Klaipėdos regioninį karjeros centrą, Klaipėdos turizmo mokyklą, UAB „Terekas“, Kretingos Ernesto Galvanausko profesinio mokymo centrą, UAB „Geralda“, SPA centrą „Gradiali“ bei į Plungės rajono įmones ir organizacijas. Toliau vykdytas ,,Gimnazijos alumnų“ ciklas (3 susitikimai su žymiais žmonėmis, baigusiais gimnaziją) bei bendradarbiavimas su Užimtumo tarnybos specialistais.</w:t>
      </w:r>
    </w:p>
    <w:p w:rsid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Mokytojo dienos proga Specialiojo ugdymo centre ir akademiko A. Jucio progimnazijoje mokiniai turėjo galimybę pasimatuoti mokytojo profesiją. Mokiniai noriai dalyvavo Lietuvos Junior Achievement šešėliavimo programoje Plungės bei </w:t>
      </w:r>
      <w:r w:rsidR="005D543F">
        <w:rPr>
          <w:rFonts w:eastAsia="Calibri"/>
          <w:bCs/>
          <w:lang w:eastAsia="lt-LT"/>
        </w:rPr>
        <w:t>Klaipėdos rajonų įmonėse. Vyko K</w:t>
      </w:r>
      <w:r w:rsidRPr="00495469">
        <w:rPr>
          <w:rFonts w:eastAsia="Calibri"/>
          <w:bCs/>
          <w:lang w:eastAsia="lt-LT"/>
        </w:rPr>
        <w:t>arjeros dienos veiklos „Profesijos kodas: Žemaitija 2024“, kuriose</w:t>
      </w:r>
      <w:r w:rsidR="005D543F">
        <w:rPr>
          <w:rFonts w:eastAsia="Calibri"/>
          <w:bCs/>
          <w:lang w:eastAsia="lt-LT"/>
        </w:rPr>
        <w:t xml:space="preserve"> dalyvavo apie 70 procentų III-</w:t>
      </w:r>
      <w:r w:rsidRPr="00495469">
        <w:rPr>
          <w:rFonts w:eastAsia="Calibri"/>
          <w:bCs/>
          <w:lang w:eastAsia="lt-LT"/>
        </w:rPr>
        <w:t>IV klasių gimnazistų.</w:t>
      </w:r>
    </w:p>
    <w:p w:rsid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2024 m. gimnazijoje dirbo 54 pedagoginiai darbuotojai: direktorius (1et.),  4 pavaduotojai ugdymui (2,25 et.),  4 specialiąją pagalbą teikiantys pedagogai: 1 socialinis pedagogas (1,25 et.), 1 psichologas (1,25 et.), 2 karjeros specialistai (1,1 et.), 50 mokytojų. 2024 m. sausio 1 d. duomenimis dirbo: 6 mokytojai, turintys mokytojo kvalifikacinę kategoriją, 22 vyresnieji mokytojai, 17 mokytojų metodininkų, 5 mokytojai ekspertai. Gimnazijoje dirba 2 bibliotekininkės (1,5 et.). 2023-2024 m. m. penki  gimnazijos mokytojai vadovavo, o 2024-2025 m. m.  šeši  vadovauja Plungės rajono metodiniams  būreliams.  Pedagogai visus metus aktyviai dalyvavo kvalifikacijos tobulinimo renginiuose atnaujinto ugdymo turinio diegimo, pagalbos mokiniui, ugdymo karjerai, STEAM temomis bei tobulino dalykines kompetencijas. Per 2024 m. metus 98 procentai pedagogų ir bibliotekos darbuotojų tobulino kvalifikaciją, 77 proc. pedagogų ir bibliotekos darbuotojų dalyvavo kvalifikacijos tobulinimo renginiuose 5 arba daugiau dienų per metus. Iš dalyvavusių kvalif</w:t>
      </w:r>
      <w:r w:rsidR="004A4E2D">
        <w:rPr>
          <w:rFonts w:eastAsia="Calibri"/>
          <w:bCs/>
          <w:lang w:eastAsia="lt-LT"/>
        </w:rPr>
        <w:t>ikacijos tobulinimo renginiuose</w:t>
      </w:r>
      <w:r w:rsidRPr="00495469">
        <w:rPr>
          <w:rFonts w:eastAsia="Calibri"/>
          <w:bCs/>
          <w:lang w:eastAsia="lt-LT"/>
        </w:rPr>
        <w:t xml:space="preserve"> vidutiniškai vienas dalyvis tobulino kvalifikaciją 79 val. per metus. Taip pat buvo siekiama dalykiško visų bendruomenės narių bendravimo ir bendradarbiavimo. Mokytojų dalykinis pasirengimas buvo stiprinamas dalijantis  metodine patirtimi vedant, stebint ir aptariant  atviras, atviras integruotas, integruotas, kolega-kole</w:t>
      </w:r>
      <w:r w:rsidR="004A4E2D">
        <w:rPr>
          <w:rFonts w:eastAsia="Calibri"/>
          <w:bCs/>
          <w:lang w:eastAsia="lt-LT"/>
        </w:rPr>
        <w:t xml:space="preserve">gai pamokas. 2024 m. iš viso </w:t>
      </w:r>
      <w:r w:rsidRPr="00495469">
        <w:rPr>
          <w:rFonts w:eastAsia="Calibri"/>
          <w:bCs/>
          <w:lang w:eastAsia="lt-LT"/>
        </w:rPr>
        <w:t>vestos 146 tokios pamokos.</w:t>
      </w:r>
    </w:p>
    <w:p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Ugdymo procese naudojama įranga ir priemonės atnaujinamos pagal poreikį. 2024 m. įsigyta naujų skaitmeninių priemonių ugdymo kokybei gerinti: 8 interaktyvūs SMART ekranai, 48 nešiojami kompiuteriai, 3 nešiojamų kompiuterių pakrovimo spintos, kompiuterių priedai (klaviatūros, kompiuterių pelės, ausinės) ir kita IT įranga, 33 nešiojami kompiuteriai gauti iš ŠMSM ir 15 kompiuterių iš Plungės rajono savivaldybės. Nauja IT įranga leidžia užtikrinti, kad pamokose būtų naudojami aktyvūs ugdymo(si) metodai, suteikia įvairiapusių galimybių mokytis efektyviau, kūrybiškiau ir individualiau.</w:t>
      </w:r>
    </w:p>
    <w:p w:rsidR="00495469" w:rsidRP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Visiems gimnazijos darbuotojams sukurtos elektroninio pašto paskyros bei prieigos prie DVS Kontora. Šiuo metu siekiant visiškai pereiti prie elektroninio dokumentų valdymo vyksta darbuotojų instruktavimas ir mokymai, kaip naudotis DVS Kontora.</w:t>
      </w:r>
    </w:p>
    <w:p w:rsid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Gimnazijoje visuose aukštuose veikia Wi-Fi ryšys. Mokinių ir visos bendruomenės saugumui, kovai prieš smurtą ir patyčias bei alkoholio, tabako ir kitų psichiką veikiančių medžiagų v</w:t>
      </w:r>
      <w:r w:rsidR="00AC521B">
        <w:rPr>
          <w:rFonts w:eastAsia="Calibri"/>
          <w:bCs/>
          <w:lang w:eastAsia="lt-LT"/>
        </w:rPr>
        <w:t>artojimo prevencijai užtikrinti</w:t>
      </w:r>
      <w:r w:rsidR="00B64780">
        <w:rPr>
          <w:rFonts w:eastAsia="Calibri"/>
          <w:bCs/>
          <w:lang w:eastAsia="lt-LT"/>
        </w:rPr>
        <w:t xml:space="preserve"> per 2024 m.</w:t>
      </w:r>
      <w:r w:rsidRPr="00495469">
        <w:rPr>
          <w:rFonts w:eastAsia="Calibri"/>
          <w:bCs/>
          <w:lang w:eastAsia="lt-LT"/>
        </w:rPr>
        <w:t xml:space="preserve"> įsigyta ir įrengta 14 naujų vaizdo  stebėjimo kamerų.</w:t>
      </w:r>
    </w:p>
    <w:p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Gimnazija nuolat gerina ugdymo(si) sąlygas. TŪM projekto lėšomis įrengtas sensorinis kambarys, suremontuotas pusrūsis, įrengtas koridorius, mokinių poilsio zona ir darbo kambarys,  atnaujintas muzikos k</w:t>
      </w:r>
      <w:r w:rsidR="00AC521B">
        <w:rPr>
          <w:rFonts w:eastAsia="Calibri"/>
          <w:bCs/>
          <w:lang w:eastAsia="lt-LT"/>
        </w:rPr>
        <w:t xml:space="preserve">abinetas, </w:t>
      </w:r>
      <w:r w:rsidRPr="00495469">
        <w:rPr>
          <w:rFonts w:eastAsia="Calibri"/>
          <w:bCs/>
          <w:lang w:eastAsia="lt-LT"/>
        </w:rPr>
        <w:t>renovuota muzikos studija, naujai suremontuotas biologijos kabinetas.</w:t>
      </w:r>
      <w:r w:rsidR="00AC521B">
        <w:rPr>
          <w:rFonts w:eastAsia="Calibri"/>
          <w:bCs/>
          <w:lang w:eastAsia="lt-LT"/>
        </w:rPr>
        <w:t xml:space="preserve"> </w:t>
      </w:r>
      <w:r w:rsidRPr="00495469">
        <w:rPr>
          <w:rFonts w:eastAsia="Calibri"/>
          <w:bCs/>
          <w:lang w:eastAsia="lt-LT"/>
        </w:rPr>
        <w:t>Savivald</w:t>
      </w:r>
      <w:r w:rsidR="00B64780">
        <w:rPr>
          <w:rFonts w:eastAsia="Calibri"/>
          <w:bCs/>
          <w:lang w:eastAsia="lt-LT"/>
        </w:rPr>
        <w:t>ybės lėšomis suremontuoti</w:t>
      </w:r>
      <w:r w:rsidRPr="00495469">
        <w:rPr>
          <w:rFonts w:eastAsia="Calibri"/>
          <w:bCs/>
          <w:lang w:eastAsia="lt-LT"/>
        </w:rPr>
        <w:t xml:space="preserve"> du įėjimų į gimnazija stogeliai. 2024 m.  suremontuota pagrindinė įėjimo aikštelė, perdažytos visos medinės gimnazijos grindys  (714 m²</w:t>
      </w:r>
      <w:r w:rsidR="00D957E5">
        <w:rPr>
          <w:rFonts w:eastAsia="Calibri"/>
          <w:bCs/>
          <w:lang w:eastAsia="lt-LT"/>
        </w:rPr>
        <w:t xml:space="preserve">, </w:t>
      </w:r>
      <w:r w:rsidRPr="00495469">
        <w:rPr>
          <w:rFonts w:eastAsia="Calibri"/>
          <w:bCs/>
          <w:lang w:eastAsia="lt-LT"/>
        </w:rPr>
        <w:t xml:space="preserve"> </w:t>
      </w:r>
      <w:r w:rsidR="00926E08">
        <w:rPr>
          <w:rFonts w:eastAsia="Calibri"/>
          <w:bCs/>
          <w:lang w:eastAsia="lt-LT"/>
        </w:rPr>
        <w:t xml:space="preserve">914 Eur). </w:t>
      </w:r>
    </w:p>
    <w:p w:rsid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Gimnazija savo veikla siekia užtikrinti mokymosi visą gyvenimą prieinamumą ir mokymo(si) kokybę suaugusiems asmenims, taiko kontaktinį ir nuotolinį mokymo(si) būdą bei individualią pagalbą</w:t>
      </w:r>
      <w:r w:rsidR="00B64780">
        <w:rPr>
          <w:rFonts w:eastAsia="Calibri"/>
          <w:bCs/>
          <w:lang w:eastAsia="lt-LT"/>
        </w:rPr>
        <w:t>,</w:t>
      </w:r>
      <w:r w:rsidRPr="00495469">
        <w:rPr>
          <w:rFonts w:eastAsia="Calibri"/>
          <w:bCs/>
          <w:lang w:eastAsia="lt-LT"/>
        </w:rPr>
        <w:t xml:space="preserve"> naudojant skaitmenines mokymo(si) priemones ir virtualią mokymo(si) platformą. 2023–2024 m. m. rugsėjo 1 d. gimnazijoje suformuotos 2 suaugusiųjų klasės: IV s klasė (21 mokinys) ir III s klasė (13 mokinių). Per mokslo metus į IV s klasę atvyko 3, o į III s klasę 4 mokiniai, tačiau dėl </w:t>
      </w:r>
      <w:r w:rsidRPr="00495469">
        <w:rPr>
          <w:rFonts w:eastAsia="Calibri"/>
          <w:bCs/>
          <w:lang w:eastAsia="lt-LT"/>
        </w:rPr>
        <w:lastRenderedPageBreak/>
        <w:t xml:space="preserve">asmeninių priežasčių mokymosi sutartį nutraukė 1 III s klasės ir 1 IV </w:t>
      </w:r>
      <w:r w:rsidR="00DF5A73">
        <w:rPr>
          <w:rFonts w:eastAsia="Calibri"/>
          <w:bCs/>
          <w:lang w:eastAsia="lt-LT"/>
        </w:rPr>
        <w:t>s klasės mokinys. Mokslo metų pa</w:t>
      </w:r>
      <w:r w:rsidRPr="00495469">
        <w:rPr>
          <w:rFonts w:eastAsia="Calibri"/>
          <w:bCs/>
          <w:lang w:eastAsia="lt-LT"/>
        </w:rPr>
        <w:t>baigoje III s klasėje buvo 14 mokinių: 9 mokiniai perkelti į aukštesnę klasę, o su 5 (35,7 %) mokiniais buvo nutrauktos mokymosi sutartys dėl nesimokymo ir nelankymo. IV s klasės 17 mokinių baigė mokslo metus, o su 6 (26,09 %) mokiniais buvo nutrauktos mokymosi sutartys po pirmo pusmečio dėl nesi</w:t>
      </w:r>
      <w:r w:rsidR="00DF5A73">
        <w:rPr>
          <w:rFonts w:eastAsia="Calibri"/>
          <w:bCs/>
          <w:lang w:eastAsia="lt-LT"/>
        </w:rPr>
        <w:t>mokymo ir nelankymo. 2024 m.</w:t>
      </w:r>
      <w:r w:rsidRPr="00495469">
        <w:rPr>
          <w:rFonts w:eastAsia="Calibri"/>
          <w:bCs/>
          <w:lang w:eastAsia="lt-LT"/>
        </w:rPr>
        <w:t xml:space="preserve"> IV s klasės mokiniai rinkosi laikyti 7 dalykų valstybinius brandos egzaminus. Egzaminus laikė 16 mokinių. 12 suaugusiųjų IV s klasės mokinių įgijo vidurinį išsilavinimą ir gavo brandos atestatus (trimis mokiniais daugiau nei 2023 m.), 4 mokiniai gavo pasiekimų pažymėjimus ir 1 mokinys, kuris kartojo dviejų dalykų kursus, gavo pažymą. III s klasės mokiniai dalyvavo pasiekimų patikrinimų I dalyje.</w:t>
      </w:r>
    </w:p>
    <w:p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Gimnazija yra bazinė mokykla, kuri vykdo Lietuvių valstybinės kalbos ir Konstitucijos pagrindų egza</w:t>
      </w:r>
      <w:r w:rsidR="005C53A7">
        <w:rPr>
          <w:rFonts w:eastAsia="Calibri"/>
          <w:bCs/>
          <w:lang w:eastAsia="lt-LT"/>
        </w:rPr>
        <w:t>minus užsieniečiams. 2024 m.</w:t>
      </w:r>
      <w:r w:rsidRPr="00495469">
        <w:rPr>
          <w:rFonts w:eastAsia="Calibri"/>
          <w:bCs/>
          <w:lang w:eastAsia="lt-LT"/>
        </w:rPr>
        <w:t xml:space="preserve"> vykdėme 4 lietuvių valstybinės kalbos egzaminus, kuriuose dalyvavo 15 kandidatų (išlaikė 10), ir 6 Konstitucijos pagrindų egzaminus, kuriuose dalyvavo 22 kandidatai (išlaikė 5).</w:t>
      </w:r>
    </w:p>
    <w:p w:rsidR="00495469" w:rsidRP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Gimnazijos bibliotekoje nuolat ugdomi mokinių informaciniai gebėjimai: ieškoti, rasti, kaupti, analizuoti ir pateikti informaciją bei jos šaltinius – tai turi padėti mokiniams integruotis į informacinę visuomenę. Kryptingai komplektuojami informaciniai ištekliai, ugdomos mokinių kultūrinės kompetencijos, skatinamas mokinių domėjimasis literatūra, siūloma ne tik programinė, bet ir laisvalaikio skaitymui skirta literatūra. Vyksta pokalbiai apie knygas ir įdomius straipsnius be</w:t>
      </w:r>
      <w:r w:rsidR="00EA3110">
        <w:rPr>
          <w:rFonts w:eastAsia="Calibri"/>
          <w:bCs/>
          <w:lang w:eastAsia="lt-LT"/>
        </w:rPr>
        <w:t>i naujų knygų apžvalgos, aptarimai</w:t>
      </w:r>
      <w:r w:rsidRPr="00495469">
        <w:rPr>
          <w:rFonts w:eastAsia="Calibri"/>
          <w:bCs/>
          <w:lang w:eastAsia="lt-LT"/>
        </w:rPr>
        <w:t>:  „Metų knygos rinkimai“, geriausių lietuviškų knygų penketukai. Vyksta teminės integruotos pamokos, kas mėnesį rengiamos knygų parodos rašytojų jubiliejams paminėti. Temines edukacines veiklas biblioteka vykdo ir Plungės akademiko A. Jucio progimnazijos „Saulės“ skyriaus pradi</w:t>
      </w:r>
      <w:r w:rsidR="00D66A06">
        <w:rPr>
          <w:rFonts w:eastAsia="Calibri"/>
          <w:bCs/>
          <w:lang w:eastAsia="lt-LT"/>
        </w:rPr>
        <w:t>nukams. Bibliotekoje 2024 m.</w:t>
      </w:r>
      <w:r w:rsidRPr="00495469">
        <w:rPr>
          <w:rFonts w:eastAsia="Calibri"/>
          <w:bCs/>
          <w:lang w:eastAsia="lt-LT"/>
        </w:rPr>
        <w:t xml:space="preserve"> buvo įkurtas gimnazijos „Lituanistikos“ centras,  kuris vykdė įvairius renginius.</w:t>
      </w:r>
      <w:r w:rsidRPr="00495469">
        <w:t xml:space="preserve"> </w:t>
      </w:r>
      <w:r w:rsidRPr="00495469">
        <w:rPr>
          <w:rFonts w:eastAsia="Calibri"/>
          <w:bCs/>
          <w:lang w:eastAsia="lt-LT"/>
        </w:rPr>
        <w:t>Plungės „Saulės“ gimnazija partnerio teisėmis dalyvauja projekte „Galimybių mokykla“ Nr. 10-072-P-0001, kuris yra finansuojamas ES fondų lėšomis ir bendrojo finansavimo lėšomis. Pasinaudodami šiomis bei  mokymo lėšomis, skirtomis mokymo priemonėms,  atnaujinome vadovėlių fondą 1843 vadovėliais už 32889 eurus. Įsigytos 314 mokinio bei 21 mokytojo „Eduka“ ir „Egzaminatorius“ skaitmeninių priemonių licencijos, 50 mokinio bei 1 mokytojo automatizuotos programavimo mokymo informacinės sistemos „Apromis“ licencijos.  Tai leidžia mokytojams įvairinti mokymo procesą bei sudaro galimybę taikyti nuotolinį, hibridinį ar namų mokymą</w:t>
      </w:r>
      <w:r w:rsidR="00EA3110">
        <w:rPr>
          <w:rFonts w:eastAsia="Calibri"/>
          <w:bCs/>
          <w:lang w:eastAsia="lt-LT"/>
        </w:rPr>
        <w:t>.</w:t>
      </w:r>
    </w:p>
    <w:p w:rsid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Gimnazija aktyviai dalyvauja įvairiose ne tik Lietuvos, bet ir tarptautinėse programose, projektuose. 2024 metų pradžioje Plungės „Saulės“  gimnazijai suteikta „Erasmus+“ akreditacija (Nr. 2023-1-LT01-KA120-SCH-000193081). Vasario mėnesį buvo teikta Erasmus+ akredituoto projekto mobilumo paraiška (2024-1-LT01-KA121-SCH-000215492), kuri buvo patvirtinta ir gautas finansavimas 33300,00 Eur. Pagal šį projektą lapkričio mėnesį buvo vykdyti septyni mobilumai, kurių metu gimnazijos mokytojai dalyvavo kvalifikacijos kėlimo kursuose Barselonoje, Ispanijoje. Gimnazijoje vyko įvairios projekto įgyvendinimo veiklos: Europos kalbų diena, Erasmus Days (viena jų veikla – renginys prie Kultūros centro rajono mokyklų mokiniams), Tolerancijos gėlyno sodinimas, Tvarios Kalėdos, įvairių mokomųjų dalykų integruotos pamokos. 2024 metais tęsėsi anksčiau finansuoto Erasmus+ KA122 projekto (Nr. 20</w:t>
      </w:r>
      <w:r w:rsidR="00C02749">
        <w:rPr>
          <w:rFonts w:eastAsia="Calibri"/>
          <w:bCs/>
          <w:lang w:eastAsia="lt-LT"/>
        </w:rPr>
        <w:t>23-1-LT01-KA122-SCH-000145683) „</w:t>
      </w:r>
      <w:r w:rsidRPr="00495469">
        <w:rPr>
          <w:rFonts w:eastAsia="Calibri"/>
          <w:bCs/>
          <w:lang w:eastAsia="lt-LT"/>
        </w:rPr>
        <w:t>Goin</w:t>
      </w:r>
      <w:r w:rsidR="00C02749">
        <w:rPr>
          <w:rFonts w:eastAsia="Calibri"/>
          <w:bCs/>
          <w:lang w:eastAsia="lt-LT"/>
        </w:rPr>
        <w:t>g Green – Sustainable Inclusion“</w:t>
      </w:r>
      <w:r w:rsidRPr="00495469">
        <w:rPr>
          <w:rFonts w:eastAsia="Calibri"/>
          <w:bCs/>
          <w:lang w:eastAsia="lt-LT"/>
        </w:rPr>
        <w:t xml:space="preserve"> veiklos: įvairių mokomųjų dalykų inte</w:t>
      </w:r>
      <w:r w:rsidR="00105C7A">
        <w:rPr>
          <w:rFonts w:eastAsia="Calibri"/>
          <w:bCs/>
          <w:lang w:eastAsia="lt-LT"/>
        </w:rPr>
        <w:t>gruotos pamokos, renginys Akademiko A.</w:t>
      </w:r>
      <w:r w:rsidRPr="00495469">
        <w:rPr>
          <w:rFonts w:eastAsia="Calibri"/>
          <w:bCs/>
          <w:lang w:eastAsia="lt-LT"/>
        </w:rPr>
        <w:t xml:space="preserve"> Jucio progimnazijos mokiniams,  susitikimai gimnazijoje su Klaipėdos apskrities Ievos Simonaitytės viešosios bibliotekos Amerikos skaityklos darbuotojomis ir savanore iš Turkijos bei veiklos jų bibliotekoje, dalyvavimas Plungės miesto Babrungo slėnyje vykusiame „UžmESk akį“ final</w:t>
      </w:r>
      <w:r w:rsidR="00105C7A">
        <w:rPr>
          <w:rFonts w:eastAsia="Calibri"/>
          <w:bCs/>
          <w:lang w:eastAsia="lt-LT"/>
        </w:rPr>
        <w:t>iniame renginyje, skirtame pamin</w:t>
      </w:r>
      <w:r w:rsidRPr="00495469">
        <w:rPr>
          <w:rFonts w:eastAsia="Calibri"/>
          <w:bCs/>
          <w:lang w:eastAsia="lt-LT"/>
        </w:rPr>
        <w:t>ėti Lietuvos narystę Europos Sąj</w:t>
      </w:r>
      <w:r w:rsidR="00105C7A">
        <w:rPr>
          <w:rFonts w:eastAsia="Calibri"/>
          <w:bCs/>
          <w:lang w:eastAsia="lt-LT"/>
        </w:rPr>
        <w:t>ungoje, dalyvavimas programoje ,,</w:t>
      </w:r>
      <w:r w:rsidR="00C02749">
        <w:rPr>
          <w:rFonts w:eastAsia="Calibri"/>
          <w:bCs/>
          <w:lang w:eastAsia="lt-LT"/>
        </w:rPr>
        <w:t>Žaliųjų idėjų festivalis 2024“</w:t>
      </w:r>
      <w:r w:rsidRPr="00495469">
        <w:rPr>
          <w:rFonts w:eastAsia="Calibri"/>
          <w:bCs/>
          <w:lang w:eastAsia="lt-LT"/>
        </w:rPr>
        <w:t xml:space="preserve"> ir Lietuvos Respublikos Prezidento kanceliarijos protmūšyje, kur mūsų koma</w:t>
      </w:r>
      <w:r w:rsidR="00A84B5C">
        <w:rPr>
          <w:rFonts w:eastAsia="Calibri"/>
          <w:bCs/>
          <w:lang w:eastAsia="lt-LT"/>
        </w:rPr>
        <w:t>nda užėmė II</w:t>
      </w:r>
      <w:r w:rsidRPr="00495469">
        <w:rPr>
          <w:rFonts w:eastAsia="Calibri"/>
          <w:bCs/>
          <w:lang w:eastAsia="lt-LT"/>
        </w:rPr>
        <w:t xml:space="preserve"> vietą. Informacija apie projektą buvo pildoma „Beneficiary Module“ sistemoje, rugpjūčio mėnesį teikta projekto galutinė ataskaita, kurią Švietimo mainų paramos fondas įvertino labai gerai (96 balai iš 100).</w:t>
      </w:r>
    </w:p>
    <w:p w:rsid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t xml:space="preserve">2024 m. </w:t>
      </w:r>
      <w:r w:rsidR="006B3B41">
        <w:rPr>
          <w:rFonts w:eastAsia="Calibri"/>
          <w:bCs/>
          <w:lang w:eastAsia="lt-LT"/>
        </w:rPr>
        <w:t xml:space="preserve">toliau </w:t>
      </w:r>
      <w:r>
        <w:rPr>
          <w:rFonts w:eastAsia="Calibri"/>
          <w:bCs/>
          <w:lang w:eastAsia="lt-LT"/>
        </w:rPr>
        <w:t>įgyvendinamas</w:t>
      </w:r>
      <w:r w:rsidRPr="00495469">
        <w:rPr>
          <w:rFonts w:eastAsia="Calibri"/>
          <w:bCs/>
          <w:lang w:eastAsia="lt-LT"/>
        </w:rPr>
        <w:t xml:space="preserve"> projektas „Tūkstantmečio mokyklos I“, kurio tikslas – užtikrinti kokybišką švietimą, atitinkantį kiekvieno mokinio poreikius ir skatinantį asmeninę pažangą. Šiuo metu gimnazijoje savo veiklą vykdo 3 projekto koordinatoriai: lyderystės, kultūros ir STEAM </w:t>
      </w:r>
      <w:r w:rsidRPr="00495469">
        <w:rPr>
          <w:rFonts w:eastAsia="Calibri"/>
          <w:bCs/>
          <w:lang w:eastAsia="lt-LT"/>
        </w:rPr>
        <w:lastRenderedPageBreak/>
        <w:t>sričių.</w:t>
      </w:r>
      <w:r>
        <w:rPr>
          <w:rFonts w:eastAsia="Calibri"/>
          <w:bCs/>
          <w:lang w:eastAsia="lt-LT"/>
        </w:rPr>
        <w:t xml:space="preserve"> Įgyvendinant programą atlikti</w:t>
      </w:r>
      <w:r w:rsidRPr="00495469">
        <w:rPr>
          <w:rFonts w:eastAsia="Calibri"/>
          <w:bCs/>
          <w:lang w:eastAsia="lt-LT"/>
        </w:rPr>
        <w:t xml:space="preserve"> gimnazijos erdvi</w:t>
      </w:r>
      <w:r w:rsidR="006B3B41">
        <w:rPr>
          <w:rFonts w:eastAsia="Calibri"/>
          <w:bCs/>
          <w:lang w:eastAsia="lt-LT"/>
        </w:rPr>
        <w:t xml:space="preserve">ų pritaikymo ir remonto darbai: </w:t>
      </w:r>
      <w:r w:rsidR="006B3B41">
        <w:rPr>
          <w:szCs w:val="24"/>
          <w:lang w:eastAsia="lt-LT"/>
        </w:rPr>
        <w:t xml:space="preserve">renovuotos gimnazijos patalpos, įrengta muzikos studija, sensorinis-imersinis kambarys, mokinių poilsio ir darbo patalpos, įgyvendinama kultūrinio ugdymo programa, įsigyta įranga gamtos mokslų praktiniams darbams, rengiama biotechnologijų laboratorija. 2024 m. buvo </w:t>
      </w:r>
      <w:r w:rsidR="006B3B41">
        <w:rPr>
          <w:rFonts w:eastAsia="Calibri"/>
          <w:bCs/>
          <w:lang w:eastAsia="lt-LT"/>
        </w:rPr>
        <w:t>tęsiami vykdyt</w:t>
      </w:r>
      <w:r w:rsidRPr="00495469">
        <w:rPr>
          <w:rFonts w:eastAsia="Calibri"/>
          <w:bCs/>
          <w:lang w:eastAsia="lt-LT"/>
        </w:rPr>
        <w:t>i viešieji pirkimai įrangai, priemonėms ir paslaugoms įsigyti.</w:t>
      </w:r>
    </w:p>
    <w:p w:rsidR="00CE6DBD" w:rsidRDefault="00CE6DBD" w:rsidP="00495469">
      <w:pPr>
        <w:tabs>
          <w:tab w:val="left" w:pos="993"/>
        </w:tabs>
        <w:suppressAutoHyphens/>
        <w:jc w:val="both"/>
        <w:textAlignment w:val="baseline"/>
        <w:rPr>
          <w:rFonts w:eastAsia="Calibri"/>
          <w:bCs/>
          <w:lang w:eastAsia="lt-LT"/>
        </w:rPr>
      </w:pPr>
      <w:r>
        <w:rPr>
          <w:rFonts w:eastAsia="Calibri"/>
          <w:bCs/>
          <w:lang w:eastAsia="lt-LT"/>
        </w:rPr>
        <w:tab/>
      </w:r>
      <w:r w:rsidR="009B3260">
        <w:rPr>
          <w:rFonts w:eastAsia="Calibri"/>
          <w:bCs/>
          <w:lang w:eastAsia="lt-LT"/>
        </w:rPr>
        <w:tab/>
      </w:r>
      <w:r>
        <w:rPr>
          <w:rFonts w:eastAsia="Calibri"/>
          <w:bCs/>
          <w:lang w:eastAsia="lt-LT"/>
        </w:rPr>
        <w:t>Plungės „Saulės“ gimnazijos b</w:t>
      </w:r>
      <w:r w:rsidRPr="00CE6DBD">
        <w:rPr>
          <w:rFonts w:eastAsia="Calibri"/>
          <w:bCs/>
          <w:lang w:eastAsia="lt-LT"/>
        </w:rPr>
        <w:t>iudžeto lėšos</w:t>
      </w:r>
      <w:r w:rsidR="000D0DA9">
        <w:rPr>
          <w:rFonts w:eastAsia="Calibri"/>
          <w:bCs/>
          <w:lang w:eastAsia="lt-LT"/>
        </w:rPr>
        <w:t xml:space="preserve"> ir jų panaudojimas  </w:t>
      </w:r>
      <w:r w:rsidRPr="00CE6DBD">
        <w:rPr>
          <w:rFonts w:eastAsia="Calibri"/>
          <w:bCs/>
          <w:lang w:eastAsia="lt-LT"/>
        </w:rPr>
        <w:t>2024 metai</w:t>
      </w:r>
      <w:r w:rsidR="000D0DA9">
        <w:rPr>
          <w:rFonts w:eastAsia="Calibri"/>
          <w:bCs/>
          <w:lang w:eastAsia="lt-LT"/>
        </w:rPr>
        <w:t>s</w:t>
      </w:r>
    </w:p>
    <w:tbl>
      <w:tblPr>
        <w:tblStyle w:val="Lentelstinklelis"/>
        <w:tblW w:w="0" w:type="auto"/>
        <w:tblLook w:val="04A0" w:firstRow="1" w:lastRow="0" w:firstColumn="1" w:lastColumn="0" w:noHBand="0" w:noVBand="1"/>
      </w:tblPr>
      <w:tblGrid>
        <w:gridCol w:w="689"/>
        <w:gridCol w:w="1829"/>
        <w:gridCol w:w="1418"/>
        <w:gridCol w:w="1559"/>
        <w:gridCol w:w="4134"/>
      </w:tblGrid>
      <w:tr w:rsidR="00401189" w:rsidRPr="00CE6DBD" w:rsidTr="009A2FD7">
        <w:trPr>
          <w:trHeight w:val="623"/>
        </w:trPr>
        <w:tc>
          <w:tcPr>
            <w:tcW w:w="68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 Eil. Nr.</w:t>
            </w:r>
          </w:p>
        </w:tc>
        <w:tc>
          <w:tcPr>
            <w:tcW w:w="1829" w:type="dxa"/>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 xml:space="preserve"> </w:t>
            </w:r>
            <w:r>
              <w:rPr>
                <w:rFonts w:eastAsia="Calibri"/>
                <w:bCs/>
                <w:lang w:eastAsia="lt-LT"/>
              </w:rPr>
              <w:t xml:space="preserve">Lėšų panaudojimas pagal </w:t>
            </w:r>
            <w:r w:rsidRPr="00402DD8">
              <w:rPr>
                <w:rFonts w:eastAsia="Calibri"/>
                <w:bCs/>
                <w:lang w:eastAsia="lt-LT"/>
              </w:rPr>
              <w:t>straipsnius</w:t>
            </w:r>
          </w:p>
        </w:tc>
        <w:tc>
          <w:tcPr>
            <w:tcW w:w="1418" w:type="dxa"/>
            <w:hideMark/>
          </w:tcPr>
          <w:p w:rsidR="00401189" w:rsidRPr="00402DD8" w:rsidRDefault="00401189" w:rsidP="009A2FD7">
            <w:pPr>
              <w:tabs>
                <w:tab w:val="left" w:pos="993"/>
              </w:tabs>
              <w:suppressAutoHyphens/>
              <w:jc w:val="both"/>
              <w:textAlignment w:val="baseline"/>
              <w:rPr>
                <w:rFonts w:eastAsia="Calibri"/>
                <w:bCs/>
                <w:lang w:eastAsia="lt-LT"/>
              </w:rPr>
            </w:pPr>
            <w:r>
              <w:rPr>
                <w:rFonts w:eastAsia="Calibri"/>
                <w:bCs/>
                <w:lang w:eastAsia="lt-LT"/>
              </w:rPr>
              <w:t>Planuotos lėšos</w:t>
            </w:r>
          </w:p>
        </w:tc>
        <w:tc>
          <w:tcPr>
            <w:tcW w:w="1559" w:type="dxa"/>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 xml:space="preserve">Kasinės išlaidos </w:t>
            </w:r>
          </w:p>
        </w:tc>
        <w:tc>
          <w:tcPr>
            <w:tcW w:w="4134" w:type="dxa"/>
            <w:hideMark/>
          </w:tcPr>
          <w:p w:rsidR="00401189" w:rsidRPr="00402DD8" w:rsidRDefault="00401189" w:rsidP="009A2FD7">
            <w:pPr>
              <w:tabs>
                <w:tab w:val="left" w:pos="993"/>
              </w:tabs>
              <w:suppressAutoHyphens/>
              <w:jc w:val="both"/>
              <w:textAlignment w:val="baseline"/>
              <w:rPr>
                <w:rFonts w:eastAsia="Calibri"/>
                <w:bCs/>
                <w:lang w:eastAsia="lt-LT"/>
              </w:rPr>
            </w:pPr>
            <w:r>
              <w:rPr>
                <w:rFonts w:eastAsia="Calibri"/>
                <w:bCs/>
                <w:lang w:eastAsia="lt-LT"/>
              </w:rPr>
              <w:t>Lėšų panaudojimas</w:t>
            </w:r>
          </w:p>
        </w:tc>
      </w:tr>
      <w:tr w:rsidR="00401189" w:rsidRPr="00CE6DBD" w:rsidTr="009A2FD7">
        <w:trPr>
          <w:trHeight w:val="443"/>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Darbo užmokestis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2044436</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2044436,00</w:t>
            </w:r>
          </w:p>
        </w:tc>
        <w:tc>
          <w:tcPr>
            <w:tcW w:w="4134"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 </w:t>
            </w:r>
          </w:p>
        </w:tc>
      </w:tr>
      <w:tr w:rsidR="00401189" w:rsidRPr="00CE6DBD" w:rsidTr="009A2FD7">
        <w:trPr>
          <w:trHeight w:val="398"/>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Socialinio draudimo įmokos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31328</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31301,64</w:t>
            </w:r>
          </w:p>
        </w:tc>
        <w:tc>
          <w:tcPr>
            <w:tcW w:w="4134" w:type="dxa"/>
            <w:noWrap/>
            <w:hideMark/>
          </w:tcPr>
          <w:p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 </w:t>
            </w:r>
          </w:p>
        </w:tc>
      </w:tr>
      <w:tr w:rsidR="00401189" w:rsidRPr="00CE6DBD" w:rsidTr="009A2FD7">
        <w:trPr>
          <w:trHeight w:val="349"/>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3</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Mitybos išlaidos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100</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100,00</w:t>
            </w:r>
          </w:p>
        </w:tc>
        <w:tc>
          <w:tcPr>
            <w:tcW w:w="4134" w:type="dxa"/>
            <w:noWrap/>
            <w:hideMark/>
          </w:tcPr>
          <w:p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Bendrabučio mokinių vakarienė</w:t>
            </w:r>
          </w:p>
        </w:tc>
      </w:tr>
      <w:tr w:rsidR="00401189" w:rsidRPr="00CE6DBD" w:rsidTr="009A2FD7">
        <w:trPr>
          <w:trHeight w:val="660"/>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4</w:t>
            </w:r>
          </w:p>
        </w:tc>
        <w:tc>
          <w:tcPr>
            <w:tcW w:w="1829" w:type="dxa"/>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Medikamentų ir medicininių prekių bei paslaugų įsigijimo išlaidos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1100</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1100,00</w:t>
            </w:r>
          </w:p>
        </w:tc>
        <w:tc>
          <w:tcPr>
            <w:tcW w:w="4134" w:type="dxa"/>
            <w:noWrap/>
            <w:hideMark/>
          </w:tcPr>
          <w:p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Darbuotojų profilaktinis sveikatos tikrinimas</w:t>
            </w:r>
          </w:p>
        </w:tc>
      </w:tr>
      <w:tr w:rsidR="00401189" w:rsidRPr="00CE6DBD" w:rsidTr="009A2FD7">
        <w:trPr>
          <w:trHeight w:val="503"/>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5</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Ryšių įrangos ir paslaugų įsigijimas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2000</w:t>
            </w:r>
            <w:r>
              <w:rPr>
                <w:rFonts w:eastAsia="Calibri"/>
                <w:bCs/>
                <w:lang w:eastAsia="lt-LT"/>
              </w:rPr>
              <w:t>, 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2000,00</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Internetas, telefonų išlaidos</w:t>
            </w:r>
          </w:p>
        </w:tc>
      </w:tr>
      <w:tr w:rsidR="00401189" w:rsidRPr="00CE6DBD" w:rsidTr="009A2FD7">
        <w:trPr>
          <w:trHeight w:val="649"/>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6</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Transporto išlaikymas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13200</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13200,00</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5547 Eur – kompensacija už </w:t>
            </w:r>
            <w:r w:rsidRPr="00CE6DBD">
              <w:rPr>
                <w:rFonts w:eastAsia="Calibri"/>
                <w:bCs/>
                <w:lang w:eastAsia="lt-LT"/>
              </w:rPr>
              <w:t xml:space="preserve"> pe</w:t>
            </w:r>
            <w:r>
              <w:rPr>
                <w:rFonts w:eastAsia="Calibri"/>
                <w:bCs/>
                <w:lang w:eastAsia="lt-LT"/>
              </w:rPr>
              <w:t>dagogų keliones į darbą, 7653 Eur – mokyklinio autobuso išlaikymo lėšos.</w:t>
            </w:r>
          </w:p>
        </w:tc>
      </w:tr>
      <w:tr w:rsidR="00401189" w:rsidRPr="00CE6DBD" w:rsidTr="009A2FD7">
        <w:trPr>
          <w:trHeight w:val="649"/>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7</w:t>
            </w:r>
          </w:p>
        </w:tc>
        <w:tc>
          <w:tcPr>
            <w:tcW w:w="1829" w:type="dxa"/>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Materialiojo turto remonto prekių ir paslaugų įsigijimas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33100</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33100,00</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Remonto darbų už 29155,56 Eur: gimnazijos lauko laiptinių stogelių remontas – </w:t>
            </w:r>
            <w:r w:rsidRPr="00111DEA">
              <w:rPr>
                <w:rFonts w:eastAsia="Calibri"/>
                <w:bCs/>
                <w:lang w:eastAsia="lt-LT"/>
              </w:rPr>
              <w:t>6995 Eur, dažai medinių grindų remontui – 1351,37 Eur, įėjimo į gimnaziją tambūro remontas – 601,</w:t>
            </w:r>
            <w:r>
              <w:rPr>
                <w:rFonts w:eastAsia="Calibri"/>
                <w:bCs/>
                <w:lang w:eastAsia="lt-LT"/>
              </w:rPr>
              <w:t>61 Eur, bibliotekos remontas – 11</w:t>
            </w:r>
            <w:r w:rsidRPr="00111DEA">
              <w:rPr>
                <w:rFonts w:eastAsia="Calibri"/>
                <w:bCs/>
                <w:lang w:eastAsia="lt-LT"/>
              </w:rPr>
              <w:t>194,07 Eur, laiptinės prie bibliotekos lubų remontas – 669,14 Eur, aliuminio profilio vitrina su durimis – 3420 Eur, lentynos bibliotekai – 4500 Eur, kronšteinų gaminimas ir tvirtinimas prie briaunuotų plokščių – 424,37 Eur</w:t>
            </w:r>
            <w:r>
              <w:rPr>
                <w:rFonts w:eastAsia="Calibri"/>
                <w:bCs/>
                <w:lang w:eastAsia="lt-LT"/>
              </w:rPr>
              <w:t xml:space="preserve"> , </w:t>
            </w:r>
            <w:r w:rsidR="003513DC">
              <w:rPr>
                <w:rFonts w:eastAsia="Calibri"/>
                <w:bCs/>
                <w:lang w:eastAsia="lt-LT"/>
              </w:rPr>
              <w:t>kitos lėšos skirtos remonto prekių įsigijimui.</w:t>
            </w:r>
            <w:r>
              <w:rPr>
                <w:rFonts w:eastAsia="Calibri"/>
                <w:bCs/>
                <w:lang w:eastAsia="lt-LT"/>
              </w:rPr>
              <w:t>.</w:t>
            </w:r>
          </w:p>
        </w:tc>
      </w:tr>
      <w:tr w:rsidR="00401189" w:rsidRPr="00CE6DBD" w:rsidTr="009A2FD7">
        <w:trPr>
          <w:trHeight w:val="503"/>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8</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Pr>
                <w:rFonts w:eastAsia="Calibri"/>
                <w:bCs/>
                <w:lang w:eastAsia="lt-LT"/>
              </w:rPr>
              <w:t>K</w:t>
            </w:r>
            <w:r w:rsidRPr="00CE6DBD">
              <w:rPr>
                <w:rFonts w:eastAsia="Calibri"/>
                <w:bCs/>
                <w:lang w:eastAsia="lt-LT"/>
              </w:rPr>
              <w:t>valifikacijos kėlimas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7300</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7282,11</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 </w:t>
            </w:r>
          </w:p>
        </w:tc>
      </w:tr>
      <w:tr w:rsidR="00401189" w:rsidRPr="00CE6DBD" w:rsidTr="009A2FD7">
        <w:trPr>
          <w:trHeight w:val="503"/>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9</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Komunalinių paslaugų įsigijimo išlaidos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82752</w:t>
            </w:r>
            <w:r>
              <w:rPr>
                <w:rFonts w:eastAsia="Calibri"/>
                <w:bCs/>
                <w:lang w:eastAsia="lt-LT"/>
              </w:rPr>
              <w:t>,00</w:t>
            </w:r>
          </w:p>
        </w:tc>
        <w:tc>
          <w:tcPr>
            <w:tcW w:w="1559" w:type="dxa"/>
            <w:noWrap/>
            <w:hideMark/>
          </w:tcPr>
          <w:p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82752,00</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 </w:t>
            </w:r>
          </w:p>
        </w:tc>
      </w:tr>
      <w:tr w:rsidR="00401189" w:rsidRPr="00CE6DBD" w:rsidTr="009A2FD7">
        <w:trPr>
          <w:trHeight w:val="612"/>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10</w:t>
            </w:r>
          </w:p>
        </w:tc>
        <w:tc>
          <w:tcPr>
            <w:tcW w:w="1829" w:type="dxa"/>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Informacinių technologijų prekės ir paslaugos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18400</w:t>
            </w:r>
            <w:r>
              <w:rPr>
                <w:rFonts w:eastAsia="Calibri"/>
                <w:bCs/>
                <w:lang w:eastAsia="lt-LT"/>
              </w:rPr>
              <w:t>,00</w:t>
            </w:r>
          </w:p>
        </w:tc>
        <w:tc>
          <w:tcPr>
            <w:tcW w:w="1559" w:type="dxa"/>
            <w:noWrap/>
            <w:hideMark/>
          </w:tcPr>
          <w:p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18400,00</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6281</w:t>
            </w:r>
            <w:r>
              <w:rPr>
                <w:rFonts w:eastAsia="Calibri"/>
                <w:bCs/>
                <w:lang w:eastAsia="lt-LT"/>
              </w:rPr>
              <w:t xml:space="preserve"> Eur – </w:t>
            </w:r>
            <w:r w:rsidRPr="00CE6DBD">
              <w:rPr>
                <w:rFonts w:eastAsia="Calibri"/>
                <w:bCs/>
                <w:lang w:eastAsia="lt-LT"/>
              </w:rPr>
              <w:t xml:space="preserve">Eduka </w:t>
            </w:r>
            <w:r>
              <w:rPr>
                <w:rFonts w:eastAsia="Calibri"/>
                <w:bCs/>
                <w:lang w:eastAsia="lt-LT"/>
              </w:rPr>
              <w:t xml:space="preserve">licencijos, </w:t>
            </w:r>
            <w:r w:rsidRPr="00CE6DBD">
              <w:rPr>
                <w:rFonts w:eastAsia="Calibri"/>
                <w:bCs/>
                <w:lang w:eastAsia="lt-LT"/>
              </w:rPr>
              <w:t xml:space="preserve">toneriai ir </w:t>
            </w:r>
            <w:r>
              <w:rPr>
                <w:rFonts w:eastAsia="Calibri"/>
                <w:bCs/>
                <w:lang w:eastAsia="lt-LT"/>
              </w:rPr>
              <w:t xml:space="preserve">kasetės spausdintuvams už 1300 Eur, </w:t>
            </w:r>
            <w:r w:rsidRPr="00CE6DBD">
              <w:rPr>
                <w:rFonts w:eastAsia="Calibri"/>
                <w:bCs/>
                <w:lang w:eastAsia="lt-LT"/>
              </w:rPr>
              <w:t xml:space="preserve"> </w:t>
            </w:r>
            <w:r>
              <w:rPr>
                <w:rFonts w:eastAsia="Calibri"/>
                <w:bCs/>
                <w:lang w:eastAsia="lt-LT"/>
              </w:rPr>
              <w:t>elektroninio dienyno „</w:t>
            </w:r>
            <w:r w:rsidRPr="00CE6DBD">
              <w:rPr>
                <w:rFonts w:eastAsia="Calibri"/>
                <w:bCs/>
                <w:lang w:eastAsia="lt-LT"/>
              </w:rPr>
              <w:t>Tamo</w:t>
            </w:r>
            <w:r>
              <w:rPr>
                <w:rFonts w:eastAsia="Calibri"/>
                <w:bCs/>
                <w:lang w:eastAsia="lt-LT"/>
              </w:rPr>
              <w:t>“ mokestis</w:t>
            </w:r>
            <w:r w:rsidRPr="00CE6DBD">
              <w:rPr>
                <w:rFonts w:eastAsia="Calibri"/>
                <w:bCs/>
                <w:lang w:eastAsia="lt-LT"/>
              </w:rPr>
              <w:t xml:space="preserve"> ir kt.</w:t>
            </w:r>
          </w:p>
        </w:tc>
      </w:tr>
      <w:tr w:rsidR="00401189" w:rsidRPr="00CE6DBD" w:rsidTr="009A2FD7">
        <w:trPr>
          <w:trHeight w:val="1320"/>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lastRenderedPageBreak/>
              <w:t>11</w:t>
            </w:r>
          </w:p>
        </w:tc>
        <w:tc>
          <w:tcPr>
            <w:tcW w:w="1829" w:type="dxa"/>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Kitų prekių ir paslaugų įsigijimo išlaidos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40100</w:t>
            </w:r>
            <w:r>
              <w:rPr>
                <w:rFonts w:eastAsia="Calibri"/>
                <w:bCs/>
                <w:lang w:eastAsia="lt-LT"/>
              </w:rPr>
              <w:t>,00</w:t>
            </w:r>
          </w:p>
        </w:tc>
        <w:tc>
          <w:tcPr>
            <w:tcW w:w="1559" w:type="dxa"/>
            <w:noWrap/>
            <w:hideMark/>
          </w:tcPr>
          <w:p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40100,00</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Už 13784,27 Eur įsigyta </w:t>
            </w:r>
            <w:r w:rsidRPr="00CE6DBD">
              <w:rPr>
                <w:rFonts w:eastAsia="Calibri"/>
                <w:bCs/>
                <w:lang w:eastAsia="lt-LT"/>
              </w:rPr>
              <w:t xml:space="preserve"> 800 vnt</w:t>
            </w:r>
            <w:r>
              <w:rPr>
                <w:rFonts w:eastAsia="Calibri"/>
                <w:bCs/>
                <w:lang w:eastAsia="lt-LT"/>
              </w:rPr>
              <w:t>.</w:t>
            </w:r>
            <w:r w:rsidRPr="00CE6DBD">
              <w:rPr>
                <w:rFonts w:eastAsia="Calibri"/>
                <w:bCs/>
                <w:lang w:eastAsia="lt-LT"/>
              </w:rPr>
              <w:t xml:space="preserve"> vadovėlių</w:t>
            </w:r>
            <w:r>
              <w:rPr>
                <w:rFonts w:eastAsia="Calibri"/>
                <w:bCs/>
                <w:lang w:eastAsia="lt-LT"/>
              </w:rPr>
              <w:t>,  b</w:t>
            </w:r>
            <w:r w:rsidRPr="00CE6DBD">
              <w:rPr>
                <w:rFonts w:eastAsia="Calibri"/>
                <w:bCs/>
                <w:lang w:eastAsia="lt-LT"/>
              </w:rPr>
              <w:t>ald</w:t>
            </w:r>
            <w:r>
              <w:rPr>
                <w:rFonts w:eastAsia="Calibri"/>
                <w:bCs/>
                <w:lang w:eastAsia="lt-LT"/>
              </w:rPr>
              <w:t xml:space="preserve">ai kabinetams, mokymo priemonės technologijoms, chemijos praktiniams darbams </w:t>
            </w:r>
            <w:r w:rsidRPr="00CE6DBD">
              <w:rPr>
                <w:rFonts w:eastAsia="Calibri"/>
                <w:bCs/>
                <w:lang w:eastAsia="lt-LT"/>
              </w:rPr>
              <w:t xml:space="preserve">ir pan. </w:t>
            </w:r>
            <w:r>
              <w:rPr>
                <w:rFonts w:eastAsia="Calibri"/>
                <w:bCs/>
                <w:lang w:eastAsia="lt-LT"/>
              </w:rPr>
              <w:t xml:space="preserve">Už </w:t>
            </w:r>
            <w:r w:rsidRPr="00CE6DBD">
              <w:rPr>
                <w:rFonts w:eastAsia="Calibri"/>
                <w:bCs/>
                <w:lang w:eastAsia="lt-LT"/>
              </w:rPr>
              <w:t>3490</w:t>
            </w:r>
            <w:r>
              <w:rPr>
                <w:rFonts w:eastAsia="Calibri"/>
                <w:bCs/>
                <w:lang w:eastAsia="lt-LT"/>
              </w:rPr>
              <w:t xml:space="preserve"> Eur įsigyti baldai mokinių poilsio zonai (projektinė veikla). Už 3200 Eur įsigyta </w:t>
            </w:r>
            <w:r w:rsidRPr="00CE6DBD">
              <w:rPr>
                <w:rFonts w:eastAsia="Calibri"/>
                <w:bCs/>
                <w:lang w:eastAsia="lt-LT"/>
              </w:rPr>
              <w:t xml:space="preserve"> </w:t>
            </w:r>
            <w:r>
              <w:rPr>
                <w:rFonts w:eastAsia="Calibri"/>
                <w:bCs/>
                <w:lang w:eastAsia="lt-LT"/>
              </w:rPr>
              <w:t xml:space="preserve">biuro popierius ir kanceliarinių prekių. </w:t>
            </w:r>
            <w:r w:rsidRPr="00CE6DBD">
              <w:rPr>
                <w:rFonts w:eastAsia="Calibri"/>
                <w:bCs/>
                <w:lang w:eastAsia="lt-LT"/>
              </w:rPr>
              <w:t xml:space="preserve"> </w:t>
            </w:r>
            <w:r>
              <w:rPr>
                <w:rFonts w:eastAsia="Calibri"/>
                <w:bCs/>
                <w:lang w:eastAsia="lt-LT"/>
              </w:rPr>
              <w:t>3900 Eur panaudota pažintinei</w:t>
            </w:r>
            <w:r w:rsidRPr="00CE6DBD">
              <w:rPr>
                <w:rFonts w:eastAsia="Calibri"/>
                <w:bCs/>
                <w:lang w:eastAsia="lt-LT"/>
              </w:rPr>
              <w:t xml:space="preserve"> veikla</w:t>
            </w:r>
            <w:r>
              <w:rPr>
                <w:rFonts w:eastAsia="Calibri"/>
                <w:bCs/>
                <w:lang w:eastAsia="lt-LT"/>
              </w:rPr>
              <w:t xml:space="preserve">i ir karjeros ugdymo veikloms. </w:t>
            </w:r>
            <w:r w:rsidRPr="00CE6DBD">
              <w:rPr>
                <w:rFonts w:eastAsia="Calibri"/>
                <w:bCs/>
                <w:lang w:eastAsia="lt-LT"/>
              </w:rPr>
              <w:t xml:space="preserve"> </w:t>
            </w:r>
            <w:r>
              <w:rPr>
                <w:rFonts w:eastAsia="Calibri"/>
                <w:bCs/>
                <w:lang w:eastAsia="lt-LT"/>
              </w:rPr>
              <w:t>Kita dalis lėšų panaudota ū</w:t>
            </w:r>
            <w:r w:rsidRPr="00CE6DBD">
              <w:rPr>
                <w:rFonts w:eastAsia="Calibri"/>
                <w:bCs/>
                <w:lang w:eastAsia="lt-LT"/>
              </w:rPr>
              <w:t>kinė</w:t>
            </w:r>
            <w:r>
              <w:rPr>
                <w:rFonts w:eastAsia="Calibri"/>
                <w:bCs/>
                <w:lang w:eastAsia="lt-LT"/>
              </w:rPr>
              <w:t>m</w:t>
            </w:r>
            <w:r w:rsidRPr="00CE6DBD">
              <w:rPr>
                <w:rFonts w:eastAsia="Calibri"/>
                <w:bCs/>
                <w:lang w:eastAsia="lt-LT"/>
              </w:rPr>
              <w:t>s prekė</w:t>
            </w:r>
            <w:r>
              <w:rPr>
                <w:rFonts w:eastAsia="Calibri"/>
                <w:bCs/>
                <w:lang w:eastAsia="lt-LT"/>
              </w:rPr>
              <w:t>m</w:t>
            </w:r>
            <w:r w:rsidRPr="00CE6DBD">
              <w:rPr>
                <w:rFonts w:eastAsia="Calibri"/>
                <w:bCs/>
                <w:lang w:eastAsia="lt-LT"/>
              </w:rPr>
              <w:t>s ir paslaugos</w:t>
            </w:r>
            <w:r>
              <w:rPr>
                <w:rFonts w:eastAsia="Calibri"/>
                <w:bCs/>
                <w:lang w:eastAsia="lt-LT"/>
              </w:rPr>
              <w:t xml:space="preserve"> įsigyti</w:t>
            </w:r>
            <w:r w:rsidRPr="00CE6DBD">
              <w:rPr>
                <w:rFonts w:eastAsia="Calibri"/>
                <w:bCs/>
                <w:lang w:eastAsia="lt-LT"/>
              </w:rPr>
              <w:t>.</w:t>
            </w:r>
          </w:p>
        </w:tc>
      </w:tr>
      <w:tr w:rsidR="00401189" w:rsidRPr="00CE6DBD" w:rsidTr="009A2FD7">
        <w:trPr>
          <w:trHeight w:val="480"/>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12</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Pr>
                <w:rFonts w:eastAsia="Calibri"/>
                <w:bCs/>
                <w:lang w:eastAsia="lt-LT"/>
              </w:rPr>
              <w:t>L</w:t>
            </w:r>
            <w:r w:rsidRPr="00CE6DBD">
              <w:rPr>
                <w:rFonts w:eastAsia="Calibri"/>
                <w:bCs/>
                <w:lang w:eastAsia="lt-LT"/>
              </w:rPr>
              <w:t>igos pašalpos už 2 d, išeitinės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29000</w:t>
            </w:r>
            <w:r>
              <w:rPr>
                <w:rFonts w:eastAsia="Calibri"/>
                <w:bCs/>
                <w:lang w:eastAsia="lt-LT"/>
              </w:rPr>
              <w:t>,00</w:t>
            </w:r>
          </w:p>
        </w:tc>
        <w:tc>
          <w:tcPr>
            <w:tcW w:w="1559" w:type="dxa"/>
            <w:noWrap/>
            <w:hideMark/>
          </w:tcPr>
          <w:p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29000,00</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Išeitinėms kompensacijoms panaudota 22000 Eur, 7000 E</w:t>
            </w:r>
            <w:r w:rsidRPr="00CE6DBD">
              <w:rPr>
                <w:rFonts w:eastAsia="Calibri"/>
                <w:bCs/>
                <w:lang w:eastAsia="lt-LT"/>
              </w:rPr>
              <w:t>ur</w:t>
            </w:r>
            <w:r>
              <w:rPr>
                <w:rFonts w:eastAsia="Calibri"/>
                <w:bCs/>
                <w:lang w:eastAsia="lt-LT"/>
              </w:rPr>
              <w:t xml:space="preserve"> –  už 2 pirmas nedarbingumo dienas.</w:t>
            </w:r>
          </w:p>
        </w:tc>
      </w:tr>
      <w:tr w:rsidR="00401189" w:rsidRPr="00CE6DBD" w:rsidTr="009A2FD7">
        <w:trPr>
          <w:trHeight w:val="1343"/>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13</w:t>
            </w:r>
          </w:p>
        </w:tc>
        <w:tc>
          <w:tcPr>
            <w:tcW w:w="182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Ilgalaikis turtas</w:t>
            </w:r>
          </w:p>
        </w:tc>
        <w:tc>
          <w:tcPr>
            <w:tcW w:w="1418"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18000</w:t>
            </w:r>
            <w:r>
              <w:rPr>
                <w:rFonts w:eastAsia="Calibri"/>
                <w:bCs/>
                <w:lang w:eastAsia="lt-LT"/>
              </w:rPr>
              <w:t>,00</w:t>
            </w:r>
          </w:p>
        </w:tc>
        <w:tc>
          <w:tcPr>
            <w:tcW w:w="1559" w:type="dxa"/>
            <w:noWrap/>
            <w:hideMark/>
          </w:tcPr>
          <w:p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17995,96</w:t>
            </w:r>
          </w:p>
        </w:tc>
        <w:tc>
          <w:tcPr>
            <w:tcW w:w="4134" w:type="dxa"/>
            <w:hideMark/>
          </w:tcPr>
          <w:p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Įsigyti </w:t>
            </w:r>
            <w:r w:rsidRPr="00CE6DBD">
              <w:rPr>
                <w:rFonts w:eastAsia="Calibri"/>
                <w:bCs/>
                <w:lang w:eastAsia="lt-LT"/>
              </w:rPr>
              <w:t>2 nešiojami kompiuteriai už 1500</w:t>
            </w:r>
            <w:r>
              <w:rPr>
                <w:rFonts w:eastAsia="Calibri"/>
                <w:bCs/>
                <w:lang w:eastAsia="lt-LT"/>
              </w:rPr>
              <w:t xml:space="preserve"> Eur</w:t>
            </w:r>
            <w:r w:rsidRPr="00CE6DBD">
              <w:rPr>
                <w:rFonts w:eastAsia="Calibri"/>
                <w:bCs/>
                <w:lang w:eastAsia="lt-LT"/>
              </w:rPr>
              <w:t>, vaizdo stebėjimo sistema už 7500</w:t>
            </w:r>
            <w:r>
              <w:rPr>
                <w:rFonts w:eastAsia="Calibri"/>
                <w:bCs/>
                <w:lang w:eastAsia="lt-LT"/>
              </w:rPr>
              <w:t xml:space="preserve"> Eur, į</w:t>
            </w:r>
            <w:r w:rsidRPr="00CE6DBD">
              <w:rPr>
                <w:rFonts w:eastAsia="Calibri"/>
                <w:bCs/>
                <w:lang w:eastAsia="lt-LT"/>
              </w:rPr>
              <w:t xml:space="preserve">garsinimo aparatūros pultas </w:t>
            </w:r>
            <w:r>
              <w:rPr>
                <w:rFonts w:eastAsia="Calibri"/>
                <w:bCs/>
                <w:lang w:eastAsia="lt-LT"/>
              </w:rPr>
              <w:t xml:space="preserve">už </w:t>
            </w:r>
            <w:r w:rsidRPr="00CE6DBD">
              <w:rPr>
                <w:rFonts w:eastAsia="Calibri"/>
                <w:bCs/>
                <w:lang w:eastAsia="lt-LT"/>
              </w:rPr>
              <w:t>998</w:t>
            </w:r>
            <w:r>
              <w:rPr>
                <w:rFonts w:eastAsia="Calibri"/>
                <w:bCs/>
                <w:lang w:eastAsia="lt-LT"/>
              </w:rPr>
              <w:t xml:space="preserve"> Eur</w:t>
            </w:r>
            <w:r w:rsidRPr="00CE6DBD">
              <w:rPr>
                <w:rFonts w:eastAsia="Calibri"/>
                <w:bCs/>
                <w:lang w:eastAsia="lt-LT"/>
              </w:rPr>
              <w:t>,</w:t>
            </w:r>
            <w:r>
              <w:rPr>
                <w:rFonts w:eastAsia="Calibri"/>
                <w:bCs/>
                <w:lang w:eastAsia="lt-LT"/>
              </w:rPr>
              <w:t xml:space="preserve"> l</w:t>
            </w:r>
            <w:r w:rsidRPr="00CE6DBD">
              <w:rPr>
                <w:rFonts w:eastAsia="Calibri"/>
                <w:bCs/>
                <w:lang w:eastAsia="lt-LT"/>
              </w:rPr>
              <w:t>entynų komple</w:t>
            </w:r>
            <w:r>
              <w:rPr>
                <w:rFonts w:eastAsia="Calibri"/>
                <w:bCs/>
                <w:lang w:eastAsia="lt-LT"/>
              </w:rPr>
              <w:t>k</w:t>
            </w:r>
            <w:r w:rsidRPr="00CE6DBD">
              <w:rPr>
                <w:rFonts w:eastAsia="Calibri"/>
                <w:bCs/>
                <w:lang w:eastAsia="lt-LT"/>
              </w:rPr>
              <w:t>tas bibliotekai</w:t>
            </w:r>
            <w:r>
              <w:rPr>
                <w:rFonts w:eastAsia="Calibri"/>
                <w:bCs/>
                <w:lang w:eastAsia="lt-LT"/>
              </w:rPr>
              <w:t xml:space="preserve"> už </w:t>
            </w:r>
            <w:r w:rsidRPr="00CE6DBD">
              <w:rPr>
                <w:rFonts w:eastAsia="Calibri"/>
                <w:bCs/>
                <w:lang w:eastAsia="lt-LT"/>
              </w:rPr>
              <w:t xml:space="preserve"> 4500</w:t>
            </w:r>
            <w:r>
              <w:rPr>
                <w:rFonts w:eastAsia="Calibri"/>
                <w:bCs/>
                <w:lang w:eastAsia="lt-LT"/>
              </w:rPr>
              <w:t xml:space="preserve"> Eur</w:t>
            </w:r>
            <w:r w:rsidRPr="00CE6DBD">
              <w:rPr>
                <w:rFonts w:eastAsia="Calibri"/>
                <w:bCs/>
                <w:lang w:eastAsia="lt-LT"/>
              </w:rPr>
              <w:t xml:space="preserve">, sniego valytuvas </w:t>
            </w:r>
            <w:r>
              <w:rPr>
                <w:rFonts w:eastAsia="Calibri"/>
                <w:bCs/>
                <w:lang w:eastAsia="lt-LT"/>
              </w:rPr>
              <w:t xml:space="preserve">už </w:t>
            </w:r>
            <w:r w:rsidRPr="00CE6DBD">
              <w:rPr>
                <w:rFonts w:eastAsia="Calibri"/>
                <w:bCs/>
                <w:lang w:eastAsia="lt-LT"/>
              </w:rPr>
              <w:t xml:space="preserve">900,3 </w:t>
            </w:r>
            <w:r>
              <w:rPr>
                <w:rFonts w:eastAsia="Calibri"/>
                <w:bCs/>
                <w:lang w:eastAsia="lt-LT"/>
              </w:rPr>
              <w:t xml:space="preserve">Eur, </w:t>
            </w:r>
            <w:r w:rsidRPr="00CE6DBD">
              <w:rPr>
                <w:rFonts w:eastAsia="Calibri"/>
                <w:bCs/>
                <w:lang w:eastAsia="lt-LT"/>
              </w:rPr>
              <w:t xml:space="preserve">įrankių rinkinys </w:t>
            </w:r>
            <w:r>
              <w:rPr>
                <w:rFonts w:eastAsia="Calibri"/>
                <w:bCs/>
                <w:lang w:eastAsia="lt-LT"/>
              </w:rPr>
              <w:t>už 637,66 E</w:t>
            </w:r>
            <w:r w:rsidRPr="00CE6DBD">
              <w:rPr>
                <w:rFonts w:eastAsia="Calibri"/>
                <w:bCs/>
                <w:lang w:eastAsia="lt-LT"/>
              </w:rPr>
              <w:t xml:space="preserve">ur. </w:t>
            </w:r>
            <w:r>
              <w:rPr>
                <w:rFonts w:eastAsia="Calibri"/>
                <w:bCs/>
                <w:lang w:eastAsia="lt-LT"/>
              </w:rPr>
              <w:t>1960 E</w:t>
            </w:r>
            <w:r w:rsidRPr="00CE6DBD">
              <w:rPr>
                <w:rFonts w:eastAsia="Calibri"/>
                <w:bCs/>
                <w:lang w:eastAsia="lt-LT"/>
              </w:rPr>
              <w:t>ur</w:t>
            </w:r>
            <w:r>
              <w:rPr>
                <w:rFonts w:eastAsia="Calibri"/>
                <w:bCs/>
                <w:lang w:eastAsia="lt-LT"/>
              </w:rPr>
              <w:t xml:space="preserve"> už </w:t>
            </w:r>
            <w:r w:rsidRPr="00CE6DBD">
              <w:rPr>
                <w:rFonts w:eastAsia="Calibri"/>
                <w:bCs/>
                <w:lang w:eastAsia="lt-LT"/>
              </w:rPr>
              <w:t xml:space="preserve"> </w:t>
            </w:r>
            <w:r>
              <w:rPr>
                <w:rFonts w:eastAsia="Calibri"/>
                <w:bCs/>
                <w:lang w:eastAsia="lt-LT"/>
              </w:rPr>
              <w:t>v</w:t>
            </w:r>
            <w:r w:rsidRPr="00CE6DBD">
              <w:rPr>
                <w:rFonts w:eastAsia="Calibri"/>
                <w:bCs/>
                <w:lang w:eastAsia="lt-LT"/>
              </w:rPr>
              <w:t>algyklos savitarnos ter</w:t>
            </w:r>
            <w:r>
              <w:rPr>
                <w:rFonts w:eastAsia="Calibri"/>
                <w:bCs/>
                <w:lang w:eastAsia="lt-LT"/>
              </w:rPr>
              <w:t>minalo PVM iš savivaldybės biudžeto lėšų</w:t>
            </w:r>
            <w:r w:rsidRPr="00CE6DBD">
              <w:rPr>
                <w:rFonts w:eastAsia="Calibri"/>
                <w:bCs/>
                <w:lang w:eastAsia="lt-LT"/>
              </w:rPr>
              <w:t>.</w:t>
            </w:r>
          </w:p>
        </w:tc>
      </w:tr>
      <w:tr w:rsidR="00401189" w:rsidRPr="00CE6DBD" w:rsidTr="009A2FD7">
        <w:trPr>
          <w:trHeight w:val="510"/>
        </w:trPr>
        <w:tc>
          <w:tcPr>
            <w:tcW w:w="689" w:type="dxa"/>
            <w:noWrap/>
            <w:hideMark/>
          </w:tcPr>
          <w:p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 </w:t>
            </w:r>
          </w:p>
        </w:tc>
        <w:tc>
          <w:tcPr>
            <w:tcW w:w="1829" w:type="dxa"/>
            <w:noWrap/>
            <w:hideMark/>
          </w:tcPr>
          <w:p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Iš viso</w:t>
            </w:r>
          </w:p>
        </w:tc>
        <w:tc>
          <w:tcPr>
            <w:tcW w:w="1418" w:type="dxa"/>
            <w:noWrap/>
            <w:hideMark/>
          </w:tcPr>
          <w:p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2320816</w:t>
            </w:r>
            <w:r>
              <w:rPr>
                <w:rFonts w:eastAsia="Calibri"/>
                <w:b/>
                <w:bCs/>
                <w:lang w:eastAsia="lt-LT"/>
              </w:rPr>
              <w:t>,00</w:t>
            </w:r>
          </w:p>
        </w:tc>
        <w:tc>
          <w:tcPr>
            <w:tcW w:w="1559" w:type="dxa"/>
            <w:noWrap/>
            <w:hideMark/>
          </w:tcPr>
          <w:p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2320767,71</w:t>
            </w:r>
          </w:p>
        </w:tc>
        <w:tc>
          <w:tcPr>
            <w:tcW w:w="4134" w:type="dxa"/>
            <w:noWrap/>
            <w:hideMark/>
          </w:tcPr>
          <w:p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 </w:t>
            </w:r>
          </w:p>
        </w:tc>
      </w:tr>
    </w:tbl>
    <w:p w:rsidR="00401189" w:rsidRDefault="00401189" w:rsidP="00401189">
      <w:pPr>
        <w:tabs>
          <w:tab w:val="left" w:pos="993"/>
        </w:tabs>
        <w:suppressAutoHyphens/>
        <w:jc w:val="both"/>
        <w:textAlignment w:val="baseline"/>
        <w:rPr>
          <w:rFonts w:eastAsia="Calibri"/>
          <w:bCs/>
          <w:lang w:eastAsia="lt-LT"/>
        </w:rPr>
      </w:pPr>
    </w:p>
    <w:tbl>
      <w:tblPr>
        <w:tblStyle w:val="Lentelstinklelis"/>
        <w:tblW w:w="0" w:type="auto"/>
        <w:tblLook w:val="04A0" w:firstRow="1" w:lastRow="0" w:firstColumn="1" w:lastColumn="0" w:noHBand="0" w:noVBand="1"/>
      </w:tblPr>
      <w:tblGrid>
        <w:gridCol w:w="4871"/>
        <w:gridCol w:w="4758"/>
      </w:tblGrid>
      <w:tr w:rsidR="00401189" w:rsidTr="009A2FD7">
        <w:tc>
          <w:tcPr>
            <w:tcW w:w="4986" w:type="dxa"/>
          </w:tcPr>
          <w:p w:rsidR="00401189" w:rsidRPr="00E4124A" w:rsidRDefault="00401189" w:rsidP="009A2FD7">
            <w:pPr>
              <w:suppressAutoHyphens/>
              <w:jc w:val="both"/>
              <w:textAlignment w:val="baseline"/>
              <w:rPr>
                <w:rFonts w:ascii="Palemonas" w:eastAsia="Calibri" w:hAnsi="Palemonas"/>
                <w:i/>
                <w:szCs w:val="24"/>
                <w:lang w:eastAsia="lt-LT"/>
              </w:rPr>
            </w:pPr>
            <w:r w:rsidRPr="00340ECE">
              <w:rPr>
                <w:rFonts w:ascii="Palemonas" w:eastAsia="Calibri" w:hAnsi="Palemonas"/>
                <w:b/>
                <w:szCs w:val="24"/>
                <w:lang w:eastAsia="lt-LT"/>
              </w:rPr>
              <w:t>1 grafikas</w:t>
            </w:r>
            <w:r w:rsidRPr="006F3924">
              <w:rPr>
                <w:rFonts w:ascii="Palemonas" w:eastAsia="Calibri" w:hAnsi="Palemonas"/>
                <w:i/>
                <w:szCs w:val="24"/>
                <w:lang w:eastAsia="lt-LT"/>
              </w:rPr>
              <w:t>.</w:t>
            </w:r>
            <w:r w:rsidRPr="00E4124A">
              <w:rPr>
                <w:rFonts w:ascii="Palemonas" w:eastAsia="Calibri" w:hAnsi="Palemonas"/>
                <w:i/>
                <w:szCs w:val="24"/>
                <w:lang w:eastAsia="lt-LT"/>
              </w:rPr>
              <w:t xml:space="preserve"> </w:t>
            </w:r>
            <w:r w:rsidRPr="009C32EF">
              <w:rPr>
                <w:rFonts w:ascii="Palemonas" w:eastAsia="Calibri" w:hAnsi="Palemonas"/>
                <w:i/>
                <w:szCs w:val="24"/>
                <w:lang w:eastAsia="lt-LT"/>
              </w:rPr>
              <w:t>Tris ir daugiau valstybinių brandos egzaminų išlaikiusių abiturientų dalis</w:t>
            </w:r>
            <w:r>
              <w:rPr>
                <w:rFonts w:ascii="Palemonas" w:eastAsia="Calibri" w:hAnsi="Palemonas"/>
                <w:i/>
                <w:szCs w:val="24"/>
                <w:lang w:eastAsia="lt-LT"/>
              </w:rPr>
              <w:t xml:space="preserve">, </w:t>
            </w:r>
            <w:r>
              <w:rPr>
                <w:rFonts w:eastAsia="Calibri"/>
                <w:i/>
                <w:szCs w:val="24"/>
                <w:lang w:eastAsia="lt-LT"/>
              </w:rPr>
              <w:t>%</w:t>
            </w:r>
          </w:p>
          <w:p w:rsidR="00401189" w:rsidRDefault="00401189" w:rsidP="009A2FD7">
            <w:pPr>
              <w:tabs>
                <w:tab w:val="left" w:pos="993"/>
              </w:tabs>
              <w:suppressAutoHyphens/>
              <w:jc w:val="both"/>
              <w:textAlignment w:val="baseline"/>
              <w:rPr>
                <w:rFonts w:eastAsia="Calibri"/>
                <w:bCs/>
                <w:lang w:eastAsia="lt-LT"/>
              </w:rPr>
            </w:pPr>
          </w:p>
        </w:tc>
        <w:tc>
          <w:tcPr>
            <w:tcW w:w="4869" w:type="dxa"/>
          </w:tcPr>
          <w:p w:rsidR="00401189" w:rsidRDefault="00401189" w:rsidP="009A2FD7">
            <w:pPr>
              <w:suppressAutoHyphens/>
              <w:jc w:val="both"/>
              <w:textAlignment w:val="baseline"/>
              <w:rPr>
                <w:rFonts w:eastAsia="Calibri"/>
                <w:bCs/>
                <w:lang w:eastAsia="lt-LT"/>
              </w:rPr>
            </w:pPr>
            <w:r>
              <w:rPr>
                <w:rFonts w:ascii="Palemonas" w:eastAsia="Calibri" w:hAnsi="Palemonas"/>
                <w:b/>
                <w:szCs w:val="24"/>
                <w:lang w:eastAsia="lt-LT"/>
              </w:rPr>
              <w:t>2</w:t>
            </w:r>
            <w:r w:rsidRPr="00340ECE">
              <w:rPr>
                <w:rFonts w:ascii="Palemonas" w:eastAsia="Calibri" w:hAnsi="Palemonas"/>
                <w:b/>
                <w:szCs w:val="24"/>
                <w:lang w:eastAsia="lt-LT"/>
              </w:rPr>
              <w:t xml:space="preserve"> grafikas</w:t>
            </w:r>
            <w:r w:rsidRPr="006F3924">
              <w:rPr>
                <w:rFonts w:ascii="Palemonas" w:eastAsia="Calibri" w:hAnsi="Palemonas"/>
                <w:i/>
                <w:szCs w:val="24"/>
                <w:lang w:eastAsia="lt-LT"/>
              </w:rPr>
              <w:t>.</w:t>
            </w:r>
            <w:r w:rsidRPr="00E4124A">
              <w:rPr>
                <w:rFonts w:ascii="Palemonas" w:eastAsia="Calibri" w:hAnsi="Palemonas"/>
                <w:i/>
                <w:szCs w:val="24"/>
                <w:lang w:eastAsia="lt-LT"/>
              </w:rPr>
              <w:t xml:space="preserve"> </w:t>
            </w:r>
            <w:r w:rsidRPr="00DF322F">
              <w:rPr>
                <w:rFonts w:ascii="Palemonas" w:eastAsia="Calibri" w:hAnsi="Palemonas"/>
                <w:i/>
                <w:szCs w:val="24"/>
                <w:lang w:eastAsia="lt-LT"/>
              </w:rPr>
              <w:t>Be pateisinamos priežasties praleistų pamokų dalis nuo visų praleistų pamokų skaičiaus</w:t>
            </w:r>
            <w:r>
              <w:rPr>
                <w:rFonts w:ascii="Palemonas" w:eastAsia="Calibri" w:hAnsi="Palemonas"/>
                <w:i/>
                <w:szCs w:val="24"/>
                <w:lang w:eastAsia="lt-LT"/>
              </w:rPr>
              <w:t xml:space="preserve">, </w:t>
            </w:r>
            <w:r>
              <w:rPr>
                <w:rFonts w:eastAsia="Calibri"/>
                <w:i/>
                <w:szCs w:val="24"/>
                <w:lang w:eastAsia="lt-LT"/>
              </w:rPr>
              <w:t>%</w:t>
            </w:r>
          </w:p>
        </w:tc>
      </w:tr>
      <w:tr w:rsidR="00401189" w:rsidTr="009A2FD7">
        <w:tc>
          <w:tcPr>
            <w:tcW w:w="4986" w:type="dxa"/>
          </w:tcPr>
          <w:p w:rsidR="00401189"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3D5D3448" wp14:editId="3BAB7D35">
                  <wp:extent cx="3048000" cy="212407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869" w:type="dxa"/>
          </w:tcPr>
          <w:p w:rsidR="00401189"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3CEF25EF" wp14:editId="3D8F06D5">
                  <wp:extent cx="3009900" cy="2105025"/>
                  <wp:effectExtent l="0" t="0" r="0" b="952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401189" w:rsidTr="009A2FD7">
        <w:tc>
          <w:tcPr>
            <w:tcW w:w="4986" w:type="dxa"/>
          </w:tcPr>
          <w:p w:rsidR="00401189" w:rsidRPr="00744266" w:rsidRDefault="00401189" w:rsidP="009A2FD7">
            <w:pPr>
              <w:tabs>
                <w:tab w:val="left" w:pos="993"/>
              </w:tabs>
              <w:suppressAutoHyphens/>
              <w:jc w:val="both"/>
              <w:textAlignment w:val="baseline"/>
              <w:rPr>
                <w:rFonts w:eastAsia="Calibri"/>
                <w:bCs/>
                <w:lang w:eastAsia="lt-LT"/>
              </w:rPr>
            </w:pPr>
            <w:r w:rsidRPr="00744266">
              <w:rPr>
                <w:rFonts w:eastAsia="Calibri"/>
                <w:bCs/>
                <w:lang w:eastAsia="lt-LT"/>
              </w:rPr>
              <w:t xml:space="preserve">2024 m. tris ir daugiau valstybinių brandos egzaminų išlaikiusių abiturientų dalis išaugo 2 </w:t>
            </w:r>
            <w:r w:rsidRPr="00744266">
              <w:rPr>
                <w:rFonts w:eastAsia="Calibri"/>
                <w:szCs w:val="24"/>
                <w:lang w:eastAsia="lt-LT"/>
              </w:rPr>
              <w:t xml:space="preserve">% </w:t>
            </w:r>
            <w:r>
              <w:rPr>
                <w:rFonts w:eastAsia="Calibri"/>
                <w:szCs w:val="24"/>
                <w:lang w:eastAsia="lt-LT"/>
              </w:rPr>
              <w:t>lyginant su</w:t>
            </w:r>
            <w:r w:rsidRPr="00744266">
              <w:rPr>
                <w:rFonts w:eastAsia="Calibri"/>
                <w:szCs w:val="24"/>
                <w:lang w:eastAsia="lt-LT"/>
              </w:rPr>
              <w:t xml:space="preserve"> 2023 m. </w:t>
            </w:r>
            <w:r>
              <w:rPr>
                <w:rFonts w:eastAsia="Calibri"/>
                <w:szCs w:val="24"/>
                <w:lang w:eastAsia="lt-LT"/>
              </w:rPr>
              <w:t xml:space="preserve">Rezultatai rodo teigiamą tendenciją. </w:t>
            </w:r>
          </w:p>
        </w:tc>
        <w:tc>
          <w:tcPr>
            <w:tcW w:w="4869" w:type="dxa"/>
          </w:tcPr>
          <w:p w:rsidR="00401189" w:rsidRDefault="00401189" w:rsidP="009A2FD7">
            <w:pPr>
              <w:tabs>
                <w:tab w:val="left" w:pos="993"/>
              </w:tabs>
              <w:suppressAutoHyphens/>
              <w:jc w:val="both"/>
              <w:textAlignment w:val="baseline"/>
              <w:rPr>
                <w:rFonts w:eastAsia="Calibri"/>
                <w:bCs/>
                <w:lang w:eastAsia="lt-LT"/>
              </w:rPr>
            </w:pPr>
            <w:r w:rsidRPr="00BD4B7C">
              <w:rPr>
                <w:rFonts w:eastAsia="Calibri"/>
                <w:bCs/>
                <w:lang w:eastAsia="lt-LT"/>
              </w:rPr>
              <w:t>Be pateisinamos priežasties praleistų pamokų dalis nuo visų praleistų pamokų skaičiaus</w:t>
            </w:r>
            <w:r>
              <w:rPr>
                <w:rFonts w:eastAsia="Calibri"/>
                <w:bCs/>
                <w:lang w:eastAsia="lt-LT"/>
              </w:rPr>
              <w:t xml:space="preserve"> 2024 m. buvo mažesnė nei planuotas rodiklis 11,8</w:t>
            </w:r>
            <w:r w:rsidRPr="00BD4B7C">
              <w:rPr>
                <w:rFonts w:eastAsia="Calibri"/>
                <w:bCs/>
                <w:lang w:eastAsia="lt-LT"/>
              </w:rPr>
              <w:t xml:space="preserve"> %</w:t>
            </w:r>
            <w:r>
              <w:rPr>
                <w:rFonts w:eastAsia="Calibri"/>
                <w:bCs/>
                <w:lang w:eastAsia="lt-LT"/>
              </w:rPr>
              <w:t xml:space="preserve">. </w:t>
            </w:r>
            <w:r>
              <w:rPr>
                <w:rFonts w:eastAsia="Calibri"/>
                <w:szCs w:val="24"/>
                <w:lang w:eastAsia="lt-LT"/>
              </w:rPr>
              <w:t>Rezultatai rodo teigiamą tendenciją.</w:t>
            </w:r>
          </w:p>
        </w:tc>
      </w:tr>
      <w:tr w:rsidR="00401189" w:rsidTr="009A2FD7">
        <w:tc>
          <w:tcPr>
            <w:tcW w:w="4986" w:type="dxa"/>
          </w:tcPr>
          <w:p w:rsidR="00401189" w:rsidRDefault="00401189" w:rsidP="009A2FD7">
            <w:pPr>
              <w:suppressAutoHyphens/>
              <w:jc w:val="both"/>
              <w:textAlignment w:val="baseline"/>
              <w:rPr>
                <w:rFonts w:eastAsia="Calibri"/>
                <w:bCs/>
                <w:lang w:eastAsia="lt-LT"/>
              </w:rPr>
            </w:pPr>
            <w:r>
              <w:rPr>
                <w:rFonts w:ascii="Palemonas" w:eastAsia="Calibri" w:hAnsi="Palemonas"/>
                <w:b/>
                <w:szCs w:val="24"/>
                <w:lang w:eastAsia="lt-LT"/>
              </w:rPr>
              <w:t>3</w:t>
            </w:r>
            <w:r w:rsidRPr="00340ECE">
              <w:rPr>
                <w:rFonts w:ascii="Palemonas" w:eastAsia="Calibri" w:hAnsi="Palemonas"/>
                <w:b/>
                <w:szCs w:val="24"/>
                <w:lang w:eastAsia="lt-LT"/>
              </w:rPr>
              <w:t xml:space="preserve"> grafikas</w:t>
            </w:r>
            <w:r w:rsidRPr="006F3924">
              <w:rPr>
                <w:rFonts w:ascii="Palemonas" w:eastAsia="Calibri" w:hAnsi="Palemonas"/>
                <w:i/>
                <w:szCs w:val="24"/>
                <w:lang w:eastAsia="lt-LT"/>
              </w:rPr>
              <w:t>.</w:t>
            </w:r>
            <w:r w:rsidRPr="00E4124A">
              <w:rPr>
                <w:rFonts w:ascii="Palemonas" w:eastAsia="Calibri" w:hAnsi="Palemonas"/>
                <w:i/>
                <w:szCs w:val="24"/>
                <w:lang w:eastAsia="lt-LT"/>
              </w:rPr>
              <w:t xml:space="preserve"> </w:t>
            </w:r>
            <w:r w:rsidRPr="00766A53">
              <w:rPr>
                <w:rFonts w:ascii="Palemonas" w:eastAsia="Calibri" w:hAnsi="Palemonas"/>
                <w:i/>
                <w:szCs w:val="24"/>
                <w:lang w:eastAsia="lt-LT"/>
              </w:rPr>
              <w:t>Pedagogų, kėlusių kvalifikaciją, dalis</w:t>
            </w:r>
            <w:r>
              <w:rPr>
                <w:rFonts w:ascii="Palemonas" w:eastAsia="Calibri" w:hAnsi="Palemonas"/>
                <w:i/>
                <w:szCs w:val="24"/>
                <w:lang w:eastAsia="lt-LT"/>
              </w:rPr>
              <w:t xml:space="preserve">, </w:t>
            </w:r>
            <w:r>
              <w:rPr>
                <w:rFonts w:eastAsia="Calibri"/>
                <w:i/>
                <w:szCs w:val="24"/>
                <w:lang w:eastAsia="lt-LT"/>
              </w:rPr>
              <w:t>%</w:t>
            </w:r>
          </w:p>
        </w:tc>
        <w:tc>
          <w:tcPr>
            <w:tcW w:w="4869" w:type="dxa"/>
          </w:tcPr>
          <w:p w:rsidR="00401189" w:rsidRDefault="00401189" w:rsidP="009A2FD7">
            <w:pPr>
              <w:suppressAutoHyphens/>
              <w:jc w:val="both"/>
              <w:textAlignment w:val="baseline"/>
              <w:rPr>
                <w:rFonts w:eastAsia="Calibri"/>
                <w:bCs/>
                <w:lang w:eastAsia="lt-LT"/>
              </w:rPr>
            </w:pPr>
            <w:r>
              <w:rPr>
                <w:rFonts w:ascii="Palemonas" w:eastAsia="Calibri" w:hAnsi="Palemonas"/>
                <w:b/>
                <w:szCs w:val="24"/>
                <w:lang w:eastAsia="lt-LT"/>
              </w:rPr>
              <w:t>4</w:t>
            </w:r>
            <w:r w:rsidRPr="00340ECE">
              <w:rPr>
                <w:rFonts w:ascii="Palemonas" w:eastAsia="Calibri" w:hAnsi="Palemonas"/>
                <w:b/>
                <w:szCs w:val="24"/>
                <w:lang w:eastAsia="lt-LT"/>
              </w:rPr>
              <w:t xml:space="preserve"> grafikas</w:t>
            </w:r>
            <w:r>
              <w:rPr>
                <w:rFonts w:ascii="Palemonas" w:eastAsia="Calibri" w:hAnsi="Palemonas"/>
                <w:b/>
                <w:szCs w:val="24"/>
                <w:lang w:eastAsia="lt-LT"/>
              </w:rPr>
              <w:t>.</w:t>
            </w:r>
            <w:r w:rsidRPr="00766A53">
              <w:rPr>
                <w:rFonts w:eastAsia="Calibri"/>
                <w:i/>
                <w:szCs w:val="24"/>
                <w:lang w:eastAsia="lt-LT"/>
              </w:rPr>
              <w:t xml:space="preserve"> Švietimo pagalbos darbuotojų (etatų),</w:t>
            </w:r>
            <w:r>
              <w:rPr>
                <w:rFonts w:eastAsia="Calibri"/>
                <w:i/>
                <w:szCs w:val="24"/>
                <w:lang w:eastAsia="lt-LT"/>
              </w:rPr>
              <w:t xml:space="preserve"> tenkančių 100 mokinių, skaičius, koef.</w:t>
            </w:r>
          </w:p>
        </w:tc>
      </w:tr>
      <w:tr w:rsidR="00401189" w:rsidTr="009A2FD7">
        <w:tc>
          <w:tcPr>
            <w:tcW w:w="4986" w:type="dxa"/>
          </w:tcPr>
          <w:p w:rsidR="00401189" w:rsidRDefault="00401189" w:rsidP="009A2FD7">
            <w:pPr>
              <w:tabs>
                <w:tab w:val="left" w:pos="993"/>
              </w:tabs>
              <w:suppressAutoHyphens/>
              <w:jc w:val="both"/>
              <w:textAlignment w:val="baseline"/>
              <w:rPr>
                <w:rFonts w:eastAsia="Calibri"/>
                <w:bCs/>
                <w:lang w:eastAsia="lt-LT"/>
              </w:rPr>
            </w:pPr>
            <w:r>
              <w:rPr>
                <w:noProof/>
                <w:lang w:eastAsia="lt-LT"/>
              </w:rPr>
              <w:lastRenderedPageBreak/>
              <w:drawing>
                <wp:inline distT="0" distB="0" distL="0" distR="0" wp14:anchorId="3305FE62" wp14:editId="07FCC9C0">
                  <wp:extent cx="3114675" cy="2486025"/>
                  <wp:effectExtent l="0" t="0" r="9525" b="952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869" w:type="dxa"/>
          </w:tcPr>
          <w:p w:rsidR="00401189"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07D47D8E" wp14:editId="7DE169E7">
                  <wp:extent cx="2971800" cy="246697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01189" w:rsidTr="009A2FD7">
        <w:tc>
          <w:tcPr>
            <w:tcW w:w="4986" w:type="dxa"/>
          </w:tcPr>
          <w:p w:rsidR="00401189" w:rsidRDefault="00401189" w:rsidP="009A2FD7">
            <w:pPr>
              <w:tabs>
                <w:tab w:val="left" w:pos="993"/>
              </w:tabs>
              <w:suppressAutoHyphens/>
              <w:jc w:val="both"/>
              <w:textAlignment w:val="baseline"/>
              <w:rPr>
                <w:rFonts w:eastAsia="Calibri"/>
                <w:bCs/>
                <w:lang w:eastAsia="lt-LT"/>
              </w:rPr>
            </w:pPr>
            <w:r w:rsidRPr="00E146ED">
              <w:rPr>
                <w:rFonts w:eastAsia="Calibri"/>
                <w:szCs w:val="24"/>
                <w:lang w:eastAsia="lt-LT"/>
              </w:rPr>
              <w:t>Pedagogų, kėlusių kvalifikaciją 2024 m.,  dalis</w:t>
            </w:r>
            <w:r>
              <w:rPr>
                <w:rFonts w:eastAsia="Calibri"/>
                <w:szCs w:val="24"/>
                <w:lang w:eastAsia="lt-LT"/>
              </w:rPr>
              <w:t xml:space="preserve"> nuo visų pedagogų </w:t>
            </w:r>
            <w:r w:rsidRPr="00E146ED">
              <w:rPr>
                <w:rFonts w:eastAsia="Calibri"/>
                <w:szCs w:val="24"/>
                <w:lang w:eastAsia="lt-LT"/>
              </w:rPr>
              <w:t xml:space="preserve"> viršijo planuotą rodiklį 44%. Rezultatai rodo teigiamą tendenciją.</w:t>
            </w:r>
          </w:p>
        </w:tc>
        <w:tc>
          <w:tcPr>
            <w:tcW w:w="4869" w:type="dxa"/>
          </w:tcPr>
          <w:p w:rsidR="00401189" w:rsidRDefault="00401189" w:rsidP="009A2FD7">
            <w:pPr>
              <w:tabs>
                <w:tab w:val="left" w:pos="993"/>
              </w:tabs>
              <w:suppressAutoHyphens/>
              <w:jc w:val="both"/>
              <w:textAlignment w:val="baseline"/>
              <w:rPr>
                <w:rFonts w:eastAsia="Calibri"/>
                <w:bCs/>
                <w:lang w:eastAsia="lt-LT"/>
              </w:rPr>
            </w:pPr>
            <w:r w:rsidRPr="00B33BC7">
              <w:rPr>
                <w:rFonts w:eastAsia="Calibri"/>
                <w:bCs/>
                <w:lang w:eastAsia="lt-LT"/>
              </w:rPr>
              <w:t xml:space="preserve">Švietimo pagalbos darbuotojų (etatų), tenkančių 100 mokinių, skaičius, </w:t>
            </w:r>
            <w:r>
              <w:rPr>
                <w:rFonts w:eastAsia="Calibri"/>
                <w:bCs/>
                <w:lang w:eastAsia="lt-LT"/>
              </w:rPr>
              <w:t>(</w:t>
            </w:r>
            <w:r w:rsidRPr="00B33BC7">
              <w:rPr>
                <w:rFonts w:eastAsia="Calibri"/>
                <w:bCs/>
                <w:lang w:eastAsia="lt-LT"/>
              </w:rPr>
              <w:t>koef.</w:t>
            </w:r>
            <w:r>
              <w:rPr>
                <w:rFonts w:eastAsia="Calibri"/>
                <w:bCs/>
                <w:lang w:eastAsia="lt-LT"/>
              </w:rPr>
              <w:t xml:space="preserve">) liko nepakitęs. Rezultatai rodo nesikeičiančią tendenciją. </w:t>
            </w:r>
          </w:p>
        </w:tc>
      </w:tr>
      <w:tr w:rsidR="00401189" w:rsidTr="009A2FD7">
        <w:tc>
          <w:tcPr>
            <w:tcW w:w="4986" w:type="dxa"/>
          </w:tcPr>
          <w:p w:rsidR="00401189" w:rsidRPr="00E146ED" w:rsidRDefault="00401189" w:rsidP="009A2FD7">
            <w:pPr>
              <w:tabs>
                <w:tab w:val="left" w:pos="993"/>
              </w:tabs>
              <w:suppressAutoHyphens/>
              <w:jc w:val="both"/>
              <w:textAlignment w:val="baseline"/>
              <w:rPr>
                <w:rFonts w:eastAsia="Calibri"/>
                <w:szCs w:val="24"/>
                <w:lang w:eastAsia="lt-LT"/>
              </w:rPr>
            </w:pPr>
            <w:r>
              <w:rPr>
                <w:rFonts w:ascii="Palemonas" w:eastAsia="Calibri" w:hAnsi="Palemonas"/>
                <w:b/>
                <w:szCs w:val="24"/>
                <w:lang w:eastAsia="lt-LT"/>
              </w:rPr>
              <w:t>5</w:t>
            </w:r>
            <w:r w:rsidRPr="00340ECE">
              <w:rPr>
                <w:rFonts w:ascii="Palemonas" w:eastAsia="Calibri" w:hAnsi="Palemonas"/>
                <w:b/>
                <w:szCs w:val="24"/>
                <w:lang w:eastAsia="lt-LT"/>
              </w:rPr>
              <w:t xml:space="preserve"> grafikas</w:t>
            </w:r>
            <w:r>
              <w:rPr>
                <w:rFonts w:ascii="Palemonas" w:eastAsia="Calibri" w:hAnsi="Palemonas"/>
                <w:b/>
                <w:szCs w:val="24"/>
                <w:lang w:eastAsia="lt-LT"/>
              </w:rPr>
              <w:t>.</w:t>
            </w:r>
            <w:r w:rsidRPr="00766A53">
              <w:rPr>
                <w:rFonts w:eastAsia="Calibri"/>
                <w:i/>
                <w:szCs w:val="24"/>
                <w:lang w:eastAsia="lt-LT"/>
              </w:rPr>
              <w:t xml:space="preserve"> </w:t>
            </w:r>
            <w:r w:rsidRPr="0075672C">
              <w:rPr>
                <w:rFonts w:eastAsia="Calibri"/>
                <w:bCs/>
                <w:i/>
                <w:lang w:eastAsia="lt-LT"/>
              </w:rPr>
              <w:t>Mokinių, lankančių neformaliojo švietimo programas (organizuojamas mokyklos), dalis</w:t>
            </w:r>
            <w:r>
              <w:rPr>
                <w:rFonts w:eastAsia="Calibri"/>
                <w:bCs/>
                <w:i/>
                <w:lang w:eastAsia="lt-LT"/>
              </w:rPr>
              <w:t>, %</w:t>
            </w:r>
          </w:p>
        </w:tc>
        <w:tc>
          <w:tcPr>
            <w:tcW w:w="4869" w:type="dxa"/>
          </w:tcPr>
          <w:p w:rsidR="00401189" w:rsidRDefault="00401189" w:rsidP="009A2FD7">
            <w:pPr>
              <w:tabs>
                <w:tab w:val="left" w:pos="993"/>
              </w:tabs>
              <w:suppressAutoHyphens/>
              <w:jc w:val="both"/>
              <w:textAlignment w:val="baseline"/>
              <w:rPr>
                <w:rFonts w:eastAsia="Calibri"/>
                <w:bCs/>
                <w:lang w:eastAsia="lt-LT"/>
              </w:rPr>
            </w:pPr>
            <w:r>
              <w:rPr>
                <w:rFonts w:ascii="Palemonas" w:eastAsia="Calibri" w:hAnsi="Palemonas"/>
                <w:b/>
                <w:szCs w:val="24"/>
                <w:lang w:eastAsia="lt-LT"/>
              </w:rPr>
              <w:t>6</w:t>
            </w:r>
            <w:r w:rsidRPr="00340ECE">
              <w:rPr>
                <w:rFonts w:ascii="Palemonas" w:eastAsia="Calibri" w:hAnsi="Palemonas"/>
                <w:b/>
                <w:szCs w:val="24"/>
                <w:lang w:eastAsia="lt-LT"/>
              </w:rPr>
              <w:t xml:space="preserve"> grafikas</w:t>
            </w:r>
            <w:r>
              <w:rPr>
                <w:rFonts w:ascii="Palemonas" w:eastAsia="Calibri" w:hAnsi="Palemonas"/>
                <w:b/>
                <w:szCs w:val="24"/>
                <w:lang w:eastAsia="lt-LT"/>
              </w:rPr>
              <w:t>.</w:t>
            </w:r>
            <w:r w:rsidRPr="00766A53">
              <w:rPr>
                <w:rFonts w:eastAsia="Calibri"/>
                <w:i/>
                <w:szCs w:val="24"/>
                <w:lang w:eastAsia="lt-LT"/>
              </w:rPr>
              <w:t xml:space="preserve"> </w:t>
            </w:r>
            <w:r w:rsidRPr="00ED19E0">
              <w:rPr>
                <w:rFonts w:eastAsia="Calibri"/>
                <w:bCs/>
                <w:lang w:eastAsia="lt-LT"/>
              </w:rPr>
              <w:t>Nepedagoginių darbuotojų etatų dalis nuo bendro darbuotojų etatų skaičiaus</w:t>
            </w:r>
            <w:r>
              <w:rPr>
                <w:rFonts w:eastAsia="Calibri"/>
                <w:bCs/>
                <w:lang w:eastAsia="lt-LT"/>
              </w:rPr>
              <w:t>, %</w:t>
            </w:r>
          </w:p>
          <w:p w:rsidR="00401189" w:rsidRPr="00B33BC7" w:rsidRDefault="00401189" w:rsidP="009A2FD7">
            <w:pPr>
              <w:tabs>
                <w:tab w:val="left" w:pos="993"/>
              </w:tabs>
              <w:suppressAutoHyphens/>
              <w:jc w:val="both"/>
              <w:textAlignment w:val="baseline"/>
              <w:rPr>
                <w:rFonts w:eastAsia="Calibri"/>
                <w:bCs/>
                <w:lang w:eastAsia="lt-LT"/>
              </w:rPr>
            </w:pPr>
          </w:p>
        </w:tc>
      </w:tr>
      <w:tr w:rsidR="00401189" w:rsidTr="009A2FD7">
        <w:tc>
          <w:tcPr>
            <w:tcW w:w="4986" w:type="dxa"/>
          </w:tcPr>
          <w:p w:rsidR="00401189" w:rsidRPr="00E146ED" w:rsidRDefault="00401189" w:rsidP="009A2FD7">
            <w:pPr>
              <w:tabs>
                <w:tab w:val="left" w:pos="993"/>
              </w:tabs>
              <w:suppressAutoHyphens/>
              <w:jc w:val="both"/>
              <w:textAlignment w:val="baseline"/>
              <w:rPr>
                <w:rFonts w:eastAsia="Calibri"/>
                <w:szCs w:val="24"/>
                <w:lang w:eastAsia="lt-LT"/>
              </w:rPr>
            </w:pPr>
            <w:r>
              <w:rPr>
                <w:noProof/>
                <w:lang w:eastAsia="lt-LT"/>
              </w:rPr>
              <w:drawing>
                <wp:inline distT="0" distB="0" distL="0" distR="0" wp14:anchorId="4BA8C166" wp14:editId="241030E9">
                  <wp:extent cx="3105150" cy="2238375"/>
                  <wp:effectExtent l="0" t="0" r="0" b="952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869" w:type="dxa"/>
          </w:tcPr>
          <w:p w:rsidR="00401189" w:rsidRPr="00B33BC7"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1C311FBB" wp14:editId="239B0E8B">
                  <wp:extent cx="3038475" cy="2238375"/>
                  <wp:effectExtent l="0" t="0" r="9525" b="9525"/>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01189" w:rsidTr="009A2FD7">
        <w:tc>
          <w:tcPr>
            <w:tcW w:w="4986" w:type="dxa"/>
          </w:tcPr>
          <w:p w:rsidR="00401189" w:rsidRPr="00E146ED" w:rsidRDefault="00401189" w:rsidP="009A2FD7">
            <w:pPr>
              <w:tabs>
                <w:tab w:val="left" w:pos="993"/>
              </w:tabs>
              <w:suppressAutoHyphens/>
              <w:jc w:val="both"/>
              <w:textAlignment w:val="baseline"/>
              <w:rPr>
                <w:rFonts w:eastAsia="Calibri"/>
                <w:szCs w:val="24"/>
                <w:lang w:eastAsia="lt-LT"/>
              </w:rPr>
            </w:pPr>
            <w:r w:rsidRPr="00327EA2">
              <w:rPr>
                <w:iCs/>
                <w:szCs w:val="24"/>
                <w:lang w:eastAsia="lt-LT"/>
              </w:rPr>
              <w:t>Mokinių, lankančių neformaliojo švietimo programas (organizuojamas mokyklos), dalis 2</w:t>
            </w:r>
            <w:r>
              <w:rPr>
                <w:iCs/>
                <w:szCs w:val="24"/>
                <w:lang w:eastAsia="lt-LT"/>
              </w:rPr>
              <w:t>024 m. buvo 35</w:t>
            </w:r>
            <w:r w:rsidRPr="00744266">
              <w:rPr>
                <w:rFonts w:eastAsia="Calibri"/>
                <w:szCs w:val="24"/>
                <w:lang w:eastAsia="lt-LT"/>
              </w:rPr>
              <w:t>%</w:t>
            </w:r>
            <w:r>
              <w:rPr>
                <w:iCs/>
                <w:szCs w:val="24"/>
                <w:lang w:eastAsia="lt-LT"/>
              </w:rPr>
              <w:t>, o planuota 42</w:t>
            </w:r>
            <w:r w:rsidRPr="00744266">
              <w:rPr>
                <w:rFonts w:eastAsia="Calibri"/>
                <w:szCs w:val="24"/>
                <w:lang w:eastAsia="lt-LT"/>
              </w:rPr>
              <w:t>%</w:t>
            </w:r>
            <w:r>
              <w:rPr>
                <w:iCs/>
                <w:szCs w:val="24"/>
                <w:lang w:eastAsia="lt-LT"/>
              </w:rPr>
              <w:t>. Nepasiekto rodiklio priežastis – gimnazijos mokiniai aktyviau lankė neformalųjį švietimą papildančias mokyklas. 2023-2024 m. m. NŠ programas papildančias mokyklas lankančių mokinių dalis buvo 34,53</w:t>
            </w:r>
            <w:r w:rsidRPr="00744266">
              <w:rPr>
                <w:rFonts w:eastAsia="Calibri"/>
                <w:szCs w:val="24"/>
                <w:lang w:eastAsia="lt-LT"/>
              </w:rPr>
              <w:t>%</w:t>
            </w:r>
            <w:r>
              <w:rPr>
                <w:iCs/>
                <w:szCs w:val="24"/>
                <w:lang w:eastAsia="lt-LT"/>
              </w:rPr>
              <w:t>, o 2022-2023 m. m. – 29,84</w:t>
            </w:r>
            <w:r w:rsidRPr="00744266">
              <w:rPr>
                <w:rFonts w:eastAsia="Calibri"/>
                <w:szCs w:val="24"/>
                <w:lang w:eastAsia="lt-LT"/>
              </w:rPr>
              <w:t>%</w:t>
            </w:r>
            <w:r>
              <w:rPr>
                <w:rFonts w:eastAsia="Calibri"/>
                <w:szCs w:val="24"/>
                <w:lang w:eastAsia="lt-LT"/>
              </w:rPr>
              <w:t>.</w:t>
            </w:r>
          </w:p>
        </w:tc>
        <w:tc>
          <w:tcPr>
            <w:tcW w:w="4869" w:type="dxa"/>
          </w:tcPr>
          <w:p w:rsidR="00401189" w:rsidRPr="00B33BC7" w:rsidRDefault="00401189" w:rsidP="009A2FD7">
            <w:pPr>
              <w:tabs>
                <w:tab w:val="left" w:pos="993"/>
              </w:tabs>
              <w:suppressAutoHyphens/>
              <w:jc w:val="both"/>
              <w:textAlignment w:val="baseline"/>
              <w:rPr>
                <w:rFonts w:eastAsia="Calibri"/>
                <w:bCs/>
                <w:lang w:eastAsia="lt-LT"/>
              </w:rPr>
            </w:pPr>
            <w:r w:rsidRPr="00730DCC">
              <w:rPr>
                <w:rFonts w:eastAsia="Calibri"/>
                <w:bCs/>
                <w:lang w:eastAsia="lt-LT"/>
              </w:rPr>
              <w:t>Nepedagoginių darbuotojų etatų dalis nuo bendro darbuotojų etat</w:t>
            </w:r>
            <w:r>
              <w:rPr>
                <w:rFonts w:eastAsia="Calibri"/>
                <w:bCs/>
                <w:lang w:eastAsia="lt-LT"/>
              </w:rPr>
              <w:t>ų skaičiaus</w:t>
            </w:r>
            <w:r w:rsidRPr="00730DCC">
              <w:rPr>
                <w:rFonts w:eastAsia="Calibri"/>
                <w:bCs/>
                <w:lang w:eastAsia="lt-LT"/>
              </w:rPr>
              <w:t xml:space="preserve"> </w:t>
            </w:r>
            <w:r>
              <w:rPr>
                <w:rFonts w:eastAsia="Calibri"/>
                <w:bCs/>
                <w:lang w:eastAsia="lt-LT"/>
              </w:rPr>
              <w:t>(</w:t>
            </w:r>
            <w:r w:rsidRPr="00730DCC">
              <w:rPr>
                <w:rFonts w:eastAsia="Calibri"/>
                <w:bCs/>
                <w:lang w:eastAsia="lt-LT"/>
              </w:rPr>
              <w:t>%</w:t>
            </w:r>
            <w:r>
              <w:rPr>
                <w:rFonts w:eastAsia="Calibri"/>
                <w:bCs/>
                <w:lang w:eastAsia="lt-LT"/>
              </w:rPr>
              <w:t>) liko nepakitusi, lyginant su 2023 m. rodikliu ir atitinka planuotus rodiklius. Rezultatai rodo nesikeičiančią tendenciją.</w:t>
            </w:r>
          </w:p>
        </w:tc>
      </w:tr>
    </w:tbl>
    <w:p w:rsidR="00766A53" w:rsidRDefault="00766A53" w:rsidP="00DF322F">
      <w:pPr>
        <w:suppressAutoHyphens/>
        <w:jc w:val="both"/>
        <w:textAlignment w:val="baseline"/>
        <w:rPr>
          <w:rFonts w:eastAsia="Calibri"/>
          <w:i/>
          <w:szCs w:val="24"/>
          <w:lang w:eastAsia="lt-LT"/>
        </w:rPr>
      </w:pPr>
    </w:p>
    <w:p w:rsidR="0075672C" w:rsidRDefault="0075672C" w:rsidP="00DF322F">
      <w:pPr>
        <w:suppressAutoHyphens/>
        <w:jc w:val="both"/>
        <w:textAlignment w:val="baseline"/>
        <w:rPr>
          <w:rFonts w:eastAsia="Calibri"/>
          <w:i/>
          <w:szCs w:val="24"/>
          <w:lang w:eastAsia="lt-LT"/>
        </w:rPr>
      </w:pPr>
    </w:p>
    <w:p w:rsidR="0075672C" w:rsidRDefault="0075672C" w:rsidP="00DF322F">
      <w:pPr>
        <w:suppressAutoHyphens/>
        <w:jc w:val="both"/>
        <w:textAlignment w:val="baseline"/>
        <w:rPr>
          <w:rFonts w:eastAsia="Calibri"/>
          <w:i/>
          <w:szCs w:val="24"/>
          <w:lang w:eastAsia="lt-LT"/>
        </w:rPr>
      </w:pPr>
    </w:p>
    <w:p w:rsidR="00DF322F" w:rsidRDefault="00DF322F" w:rsidP="00495469">
      <w:pPr>
        <w:tabs>
          <w:tab w:val="left" w:pos="993"/>
        </w:tabs>
        <w:suppressAutoHyphens/>
        <w:jc w:val="both"/>
        <w:textAlignment w:val="baseline"/>
        <w:rPr>
          <w:rFonts w:eastAsia="Calibri"/>
          <w:bCs/>
          <w:lang w:eastAsia="lt-LT"/>
        </w:rPr>
      </w:pPr>
    </w:p>
    <w:p w:rsidR="00824E63" w:rsidRDefault="00824E63" w:rsidP="00495469">
      <w:pPr>
        <w:tabs>
          <w:tab w:val="left" w:pos="993"/>
        </w:tabs>
        <w:suppressAutoHyphens/>
        <w:jc w:val="both"/>
        <w:textAlignment w:val="baseline"/>
        <w:rPr>
          <w:rFonts w:eastAsia="Calibri"/>
          <w:bCs/>
          <w:lang w:eastAsia="lt-LT"/>
        </w:rPr>
      </w:pPr>
    </w:p>
    <w:p w:rsidR="00495469" w:rsidRDefault="00495469" w:rsidP="00495469">
      <w:pPr>
        <w:tabs>
          <w:tab w:val="left" w:pos="993"/>
        </w:tabs>
        <w:suppressAutoHyphens/>
        <w:jc w:val="both"/>
        <w:textAlignment w:val="baseline"/>
        <w:rPr>
          <w:rFonts w:eastAsia="Calibri"/>
          <w:bCs/>
          <w:lang w:eastAsia="lt-LT"/>
        </w:rPr>
      </w:pPr>
    </w:p>
    <w:p w:rsidR="00294FEA" w:rsidRDefault="00294FEA" w:rsidP="00495469">
      <w:pPr>
        <w:tabs>
          <w:tab w:val="left" w:pos="993"/>
        </w:tabs>
        <w:suppressAutoHyphens/>
        <w:jc w:val="both"/>
        <w:textAlignment w:val="baseline"/>
        <w:rPr>
          <w:rFonts w:eastAsia="Calibri"/>
          <w:bCs/>
          <w:lang w:eastAsia="lt-LT"/>
        </w:rPr>
      </w:pPr>
    </w:p>
    <w:p w:rsidR="001451E4" w:rsidRDefault="001451E4" w:rsidP="001451E4">
      <w:pPr>
        <w:jc w:val="both"/>
        <w:rPr>
          <w:rFonts w:ascii="Palemonas" w:hAnsi="Palemonas"/>
          <w:i/>
          <w:iCs/>
          <w:szCs w:val="24"/>
          <w:lang w:eastAsia="lt-LT"/>
        </w:rPr>
      </w:pPr>
    </w:p>
    <w:p w:rsidR="000A77BA" w:rsidRDefault="000A77BA" w:rsidP="005155C1">
      <w:pPr>
        <w:jc w:val="both"/>
        <w:rPr>
          <w:rFonts w:ascii="Palemonas" w:hAnsi="Palemonas"/>
          <w:b/>
          <w:iCs/>
          <w:szCs w:val="24"/>
          <w:lang w:eastAsia="lt-LT"/>
        </w:rPr>
        <w:sectPr w:rsidR="000A77BA" w:rsidSect="00F67A84">
          <w:pgSz w:w="11907" w:h="16840" w:code="9"/>
          <w:pgMar w:top="1134" w:right="567" w:bottom="1134" w:left="1701" w:header="567" w:footer="567" w:gutter="0"/>
          <w:pgNumType w:start="1"/>
          <w:cols w:space="1296"/>
          <w:formProt w:val="0"/>
          <w:titlePg/>
          <w:docGrid w:linePitch="326"/>
        </w:sectPr>
      </w:pPr>
    </w:p>
    <w:p w:rsidR="005155C1" w:rsidRPr="00557223" w:rsidRDefault="005155C1" w:rsidP="005155C1">
      <w:pPr>
        <w:jc w:val="both"/>
        <w:rPr>
          <w:rFonts w:ascii="Palemonas" w:hAnsi="Palemonas"/>
          <w:iCs/>
          <w:sz w:val="20"/>
          <w:lang w:eastAsia="lt-LT"/>
        </w:rPr>
      </w:pPr>
      <w:r w:rsidRPr="00557223">
        <w:rPr>
          <w:rFonts w:ascii="Palemonas" w:hAnsi="Palemonas"/>
          <w:b/>
          <w:iCs/>
          <w:sz w:val="20"/>
          <w:lang w:eastAsia="lt-LT"/>
        </w:rPr>
        <w:lastRenderedPageBreak/>
        <w:t xml:space="preserve">1 lentelė. </w:t>
      </w:r>
      <w:r w:rsidRPr="00557223">
        <w:rPr>
          <w:rFonts w:ascii="Palemonas" w:hAnsi="Palemonas"/>
          <w:iCs/>
          <w:sz w:val="20"/>
          <w:lang w:eastAsia="lt-LT"/>
        </w:rPr>
        <w:t>Įgyvendinamų programų, uždavinių ir priemonių stebėsenos rodikliai, asignavimai ir kitos lėšos.</w:t>
      </w: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993"/>
        <w:gridCol w:w="1014"/>
        <w:gridCol w:w="1246"/>
        <w:gridCol w:w="1531"/>
        <w:gridCol w:w="1157"/>
        <w:gridCol w:w="983"/>
        <w:gridCol w:w="1348"/>
        <w:gridCol w:w="1299"/>
        <w:gridCol w:w="668"/>
        <w:gridCol w:w="724"/>
        <w:gridCol w:w="782"/>
        <w:gridCol w:w="785"/>
        <w:gridCol w:w="918"/>
        <w:gridCol w:w="801"/>
      </w:tblGrid>
      <w:tr w:rsidR="00557223" w:rsidRPr="00557223" w:rsidTr="00557223">
        <w:tc>
          <w:tcPr>
            <w:tcW w:w="392"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Programos, tikslo,  uždavinio arba priemonės kodas</w:t>
            </w:r>
          </w:p>
        </w:tc>
        <w:tc>
          <w:tcPr>
            <w:tcW w:w="321"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Programos, tikslo, uždavinio arba priemonės pavadinimas</w:t>
            </w:r>
          </w:p>
        </w:tc>
        <w:tc>
          <w:tcPr>
            <w:tcW w:w="328" w:type="pct"/>
            <w:vMerge w:val="restart"/>
            <w:shd w:val="clear" w:color="auto" w:fill="DBE5F1" w:themeFill="accent1" w:themeFillTint="33"/>
            <w:vAlign w:val="center"/>
          </w:tcPr>
          <w:p w:rsidR="000A77BA" w:rsidRPr="00557223" w:rsidRDefault="000A77BA" w:rsidP="00C85CF6">
            <w:pPr>
              <w:jc w:val="center"/>
              <w:rPr>
                <w:sz w:val="20"/>
              </w:rPr>
            </w:pPr>
            <w:r w:rsidRPr="00557223">
              <w:rPr>
                <w:sz w:val="20"/>
              </w:rPr>
              <w:t>Finansavimo šaltiniai</w:t>
            </w:r>
          </w:p>
        </w:tc>
        <w:tc>
          <w:tcPr>
            <w:tcW w:w="1590" w:type="pct"/>
            <w:gridSpan w:val="4"/>
            <w:shd w:val="clear" w:color="auto" w:fill="DBE5F1" w:themeFill="accent1" w:themeFillTint="33"/>
            <w:vAlign w:val="center"/>
          </w:tcPr>
          <w:p w:rsidR="000A77BA" w:rsidRPr="00557223" w:rsidRDefault="000A77BA" w:rsidP="00C85CF6">
            <w:pPr>
              <w:jc w:val="center"/>
              <w:rPr>
                <w:iCs/>
                <w:sz w:val="20"/>
                <w:lang w:eastAsia="lt-LT"/>
              </w:rPr>
            </w:pPr>
            <w:r w:rsidRPr="00557223">
              <w:rPr>
                <w:sz w:val="20"/>
              </w:rPr>
              <w:t>Asignavimai ir kitos lėšos (tūkst. eurų)</w:t>
            </w:r>
          </w:p>
        </w:tc>
        <w:tc>
          <w:tcPr>
            <w:tcW w:w="436"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Programos uždavinio arba priemonės stebėsenos rodiklio kodas</w:t>
            </w:r>
          </w:p>
        </w:tc>
        <w:tc>
          <w:tcPr>
            <w:tcW w:w="420"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Programos uždavinio arba priemonės stebėsenos rodiklio pavadinimas</w:t>
            </w:r>
          </w:p>
        </w:tc>
        <w:tc>
          <w:tcPr>
            <w:tcW w:w="216"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Mato vnt.</w:t>
            </w:r>
          </w:p>
        </w:tc>
        <w:tc>
          <w:tcPr>
            <w:tcW w:w="1297" w:type="pct"/>
            <w:gridSpan w:val="5"/>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Stebėsenos rodiklių reikšmės</w:t>
            </w:r>
          </w:p>
        </w:tc>
      </w:tr>
      <w:tr w:rsidR="00557223" w:rsidRPr="00557223" w:rsidTr="00557223">
        <w:tc>
          <w:tcPr>
            <w:tcW w:w="392"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321"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328" w:type="pct"/>
            <w:vMerge/>
            <w:shd w:val="clear" w:color="auto" w:fill="DBE5F1" w:themeFill="accent1" w:themeFillTint="33"/>
            <w:vAlign w:val="center"/>
          </w:tcPr>
          <w:p w:rsidR="000A77BA" w:rsidRPr="00557223" w:rsidRDefault="000A77BA" w:rsidP="00C85CF6">
            <w:pPr>
              <w:jc w:val="center"/>
              <w:rPr>
                <w:rFonts w:eastAsia="Calibri"/>
                <w:bCs/>
                <w:sz w:val="20"/>
                <w:lang w:eastAsia="lt-LT"/>
              </w:rPr>
            </w:pPr>
          </w:p>
        </w:tc>
        <w:tc>
          <w:tcPr>
            <w:tcW w:w="403"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rFonts w:eastAsia="Calibri"/>
                <w:bCs/>
                <w:sz w:val="20"/>
                <w:lang w:eastAsia="lt-LT"/>
              </w:rPr>
              <w:t>Patvirtintas asignavimų planas metų pradžiai</w:t>
            </w:r>
          </w:p>
        </w:tc>
        <w:tc>
          <w:tcPr>
            <w:tcW w:w="495"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rFonts w:eastAsia="Calibri"/>
                <w:bCs/>
                <w:sz w:val="20"/>
                <w:lang w:eastAsia="lt-LT"/>
              </w:rPr>
              <w:t>Patikslintas asignavimų planas metų pabaigai*</w:t>
            </w:r>
          </w:p>
        </w:tc>
        <w:tc>
          <w:tcPr>
            <w:tcW w:w="374" w:type="pct"/>
            <w:vMerge w:val="restart"/>
            <w:shd w:val="clear" w:color="auto" w:fill="DBE5F1" w:themeFill="accent1" w:themeFillTint="33"/>
            <w:vAlign w:val="center"/>
          </w:tcPr>
          <w:p w:rsidR="000A77BA" w:rsidRPr="00557223" w:rsidRDefault="000A77BA" w:rsidP="00C85CF6">
            <w:pPr>
              <w:suppressAutoHyphens/>
              <w:jc w:val="center"/>
              <w:textAlignment w:val="baseline"/>
              <w:rPr>
                <w:sz w:val="20"/>
                <w:lang w:eastAsia="lt-LT"/>
              </w:rPr>
            </w:pPr>
            <w:r w:rsidRPr="00557223">
              <w:rPr>
                <w:rFonts w:eastAsia="Calibri"/>
                <w:sz w:val="20"/>
                <w:lang w:eastAsia="lt-LT"/>
              </w:rPr>
              <w:t>Panaudota</w:t>
            </w:r>
          </w:p>
          <w:p w:rsidR="000A77BA" w:rsidRPr="00557223" w:rsidRDefault="000A77BA" w:rsidP="00C85CF6">
            <w:pPr>
              <w:jc w:val="center"/>
              <w:rPr>
                <w:iCs/>
                <w:sz w:val="20"/>
                <w:lang w:eastAsia="lt-LT"/>
              </w:rPr>
            </w:pPr>
            <w:r w:rsidRPr="00557223">
              <w:rPr>
                <w:rFonts w:eastAsia="Calibri"/>
                <w:sz w:val="20"/>
                <w:lang w:eastAsia="lt-LT"/>
              </w:rPr>
              <w:t>asignavimų</w:t>
            </w:r>
          </w:p>
        </w:tc>
        <w:tc>
          <w:tcPr>
            <w:tcW w:w="318"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rFonts w:eastAsia="Calibri"/>
                <w:sz w:val="20"/>
                <w:lang w:eastAsia="lt-LT"/>
              </w:rPr>
              <w:t>Panaudota asignavimų (proc.)</w:t>
            </w:r>
          </w:p>
        </w:tc>
        <w:tc>
          <w:tcPr>
            <w:tcW w:w="436"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420"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216"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741" w:type="pct"/>
            <w:gridSpan w:val="3"/>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Faktinė reikšmė</w:t>
            </w:r>
          </w:p>
        </w:tc>
        <w:tc>
          <w:tcPr>
            <w:tcW w:w="297"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Siektina reikšmė</w:t>
            </w:r>
          </w:p>
        </w:tc>
        <w:tc>
          <w:tcPr>
            <w:tcW w:w="259" w:type="pct"/>
            <w:vMerge w:val="restar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 xml:space="preserve">Pasiekimas proc. </w:t>
            </w:r>
            <w:r w:rsidRPr="00557223">
              <w:rPr>
                <w:i/>
                <w:iCs/>
                <w:sz w:val="20"/>
                <w:lang w:eastAsia="lt-LT"/>
              </w:rPr>
              <w:t>(lyginami 2024 metai)</w:t>
            </w:r>
          </w:p>
        </w:tc>
      </w:tr>
      <w:tr w:rsidR="00557223" w:rsidRPr="00557223" w:rsidTr="00557223">
        <w:trPr>
          <w:trHeight w:val="1035"/>
        </w:trPr>
        <w:tc>
          <w:tcPr>
            <w:tcW w:w="392"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321"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328"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403"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495"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374"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318"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436"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420"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216" w:type="pct"/>
            <w:vMerge/>
            <w:shd w:val="clear" w:color="auto" w:fill="DBE5F1" w:themeFill="accent1" w:themeFillTint="33"/>
            <w:vAlign w:val="center"/>
          </w:tcPr>
          <w:p w:rsidR="000A77BA" w:rsidRPr="00557223" w:rsidRDefault="000A77BA" w:rsidP="00C85CF6">
            <w:pPr>
              <w:jc w:val="center"/>
              <w:rPr>
                <w:iCs/>
                <w:sz w:val="20"/>
                <w:lang w:eastAsia="lt-LT"/>
              </w:rPr>
            </w:pPr>
          </w:p>
        </w:tc>
        <w:tc>
          <w:tcPr>
            <w:tcW w:w="234" w:type="pct"/>
            <w:shd w:val="clear" w:color="auto" w:fill="DBE5F1" w:themeFill="accent1" w:themeFillTint="33"/>
            <w:vAlign w:val="center"/>
          </w:tcPr>
          <w:p w:rsidR="000A77BA" w:rsidRPr="00557223" w:rsidRDefault="000A77BA" w:rsidP="00C85CF6">
            <w:pPr>
              <w:jc w:val="center"/>
              <w:rPr>
                <w:iCs/>
                <w:sz w:val="20"/>
                <w:lang w:eastAsia="lt-LT"/>
              </w:rPr>
            </w:pPr>
            <w:r w:rsidRPr="00557223">
              <w:rPr>
                <w:i/>
                <w:iCs/>
                <w:sz w:val="20"/>
                <w:lang w:eastAsia="lt-LT"/>
              </w:rPr>
              <w:t>2022</w:t>
            </w:r>
            <w:r w:rsidRPr="00557223">
              <w:rPr>
                <w:iCs/>
                <w:sz w:val="20"/>
                <w:lang w:eastAsia="lt-LT"/>
              </w:rPr>
              <w:t xml:space="preserve"> metais</w:t>
            </w:r>
          </w:p>
        </w:tc>
        <w:tc>
          <w:tcPr>
            <w:tcW w:w="253" w:type="pct"/>
            <w:shd w:val="clear" w:color="auto" w:fill="DBE5F1" w:themeFill="accent1" w:themeFillTint="33"/>
            <w:vAlign w:val="center"/>
          </w:tcPr>
          <w:p w:rsidR="000A77BA" w:rsidRPr="00557223" w:rsidRDefault="000A77BA" w:rsidP="00C85CF6">
            <w:pPr>
              <w:jc w:val="center"/>
              <w:rPr>
                <w:iCs/>
                <w:sz w:val="20"/>
                <w:lang w:eastAsia="lt-LT"/>
              </w:rPr>
            </w:pPr>
            <w:r w:rsidRPr="00557223">
              <w:rPr>
                <w:i/>
                <w:iCs/>
                <w:sz w:val="20"/>
                <w:lang w:eastAsia="lt-LT"/>
              </w:rPr>
              <w:t>2023</w:t>
            </w:r>
            <w:r w:rsidRPr="00557223">
              <w:rPr>
                <w:iCs/>
                <w:sz w:val="20"/>
                <w:lang w:eastAsia="lt-LT"/>
              </w:rPr>
              <w:t xml:space="preserve"> metais</w:t>
            </w:r>
          </w:p>
        </w:tc>
        <w:tc>
          <w:tcPr>
            <w:tcW w:w="254" w:type="pct"/>
            <w:shd w:val="clear" w:color="auto" w:fill="DBE5F1" w:themeFill="accent1" w:themeFillTint="33"/>
            <w:vAlign w:val="center"/>
          </w:tcPr>
          <w:p w:rsidR="000A77BA" w:rsidRPr="00557223" w:rsidRDefault="000A77BA" w:rsidP="00C85CF6">
            <w:pPr>
              <w:jc w:val="center"/>
              <w:rPr>
                <w:iCs/>
                <w:sz w:val="20"/>
                <w:lang w:eastAsia="lt-LT"/>
              </w:rPr>
            </w:pPr>
            <w:r w:rsidRPr="00557223">
              <w:rPr>
                <w:i/>
                <w:iCs/>
                <w:sz w:val="20"/>
                <w:lang w:eastAsia="lt-LT"/>
              </w:rPr>
              <w:t xml:space="preserve">2024 </w:t>
            </w:r>
            <w:r w:rsidRPr="00557223">
              <w:rPr>
                <w:iCs/>
                <w:sz w:val="20"/>
                <w:lang w:eastAsia="lt-LT"/>
              </w:rPr>
              <w:t>metais</w:t>
            </w:r>
          </w:p>
        </w:tc>
        <w:tc>
          <w:tcPr>
            <w:tcW w:w="297" w:type="pct"/>
            <w:shd w:val="clear" w:color="auto" w:fill="DBE5F1" w:themeFill="accent1" w:themeFillTint="33"/>
            <w:vAlign w:val="center"/>
          </w:tcPr>
          <w:p w:rsidR="000A77BA" w:rsidRPr="00557223" w:rsidRDefault="000A77BA" w:rsidP="00C85CF6">
            <w:pPr>
              <w:jc w:val="center"/>
              <w:rPr>
                <w:i/>
                <w:iCs/>
                <w:sz w:val="20"/>
                <w:lang w:eastAsia="lt-LT"/>
              </w:rPr>
            </w:pPr>
            <w:r w:rsidRPr="00557223">
              <w:rPr>
                <w:i/>
                <w:iCs/>
                <w:sz w:val="20"/>
                <w:lang w:eastAsia="lt-LT"/>
              </w:rPr>
              <w:t xml:space="preserve">2024 </w:t>
            </w:r>
            <w:r w:rsidRPr="00557223">
              <w:rPr>
                <w:iCs/>
                <w:sz w:val="20"/>
                <w:lang w:eastAsia="lt-LT"/>
              </w:rPr>
              <w:t>metais</w:t>
            </w:r>
          </w:p>
        </w:tc>
        <w:tc>
          <w:tcPr>
            <w:tcW w:w="259" w:type="pct"/>
            <w:vMerge/>
            <w:shd w:val="clear" w:color="auto" w:fill="DBE5F1" w:themeFill="accent1" w:themeFillTint="33"/>
            <w:vAlign w:val="center"/>
          </w:tcPr>
          <w:p w:rsidR="000A77BA" w:rsidRPr="00557223" w:rsidRDefault="000A77BA" w:rsidP="00C85CF6">
            <w:pPr>
              <w:jc w:val="center"/>
              <w:rPr>
                <w:i/>
                <w:iCs/>
                <w:sz w:val="20"/>
                <w:lang w:eastAsia="lt-LT"/>
              </w:rPr>
            </w:pPr>
          </w:p>
        </w:tc>
      </w:tr>
      <w:tr w:rsidR="00557223" w:rsidRPr="00557223" w:rsidTr="00557223">
        <w:tc>
          <w:tcPr>
            <w:tcW w:w="392"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1</w:t>
            </w:r>
          </w:p>
        </w:tc>
        <w:tc>
          <w:tcPr>
            <w:tcW w:w="321"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2</w:t>
            </w:r>
          </w:p>
        </w:tc>
        <w:tc>
          <w:tcPr>
            <w:tcW w:w="328"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3</w:t>
            </w:r>
          </w:p>
        </w:tc>
        <w:tc>
          <w:tcPr>
            <w:tcW w:w="403"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4</w:t>
            </w:r>
          </w:p>
        </w:tc>
        <w:tc>
          <w:tcPr>
            <w:tcW w:w="495"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5</w:t>
            </w:r>
          </w:p>
        </w:tc>
        <w:tc>
          <w:tcPr>
            <w:tcW w:w="374"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6</w:t>
            </w:r>
          </w:p>
        </w:tc>
        <w:tc>
          <w:tcPr>
            <w:tcW w:w="318"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7</w:t>
            </w:r>
          </w:p>
        </w:tc>
        <w:tc>
          <w:tcPr>
            <w:tcW w:w="436"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8</w:t>
            </w:r>
          </w:p>
        </w:tc>
        <w:tc>
          <w:tcPr>
            <w:tcW w:w="420"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9</w:t>
            </w:r>
          </w:p>
        </w:tc>
        <w:tc>
          <w:tcPr>
            <w:tcW w:w="216"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10</w:t>
            </w:r>
          </w:p>
        </w:tc>
        <w:tc>
          <w:tcPr>
            <w:tcW w:w="234"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11</w:t>
            </w:r>
          </w:p>
        </w:tc>
        <w:tc>
          <w:tcPr>
            <w:tcW w:w="253"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12</w:t>
            </w:r>
          </w:p>
        </w:tc>
        <w:tc>
          <w:tcPr>
            <w:tcW w:w="254"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13</w:t>
            </w:r>
          </w:p>
        </w:tc>
        <w:tc>
          <w:tcPr>
            <w:tcW w:w="297"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14</w:t>
            </w:r>
          </w:p>
        </w:tc>
        <w:tc>
          <w:tcPr>
            <w:tcW w:w="259" w:type="pct"/>
            <w:shd w:val="clear" w:color="auto" w:fill="DBE5F1" w:themeFill="accent1" w:themeFillTint="33"/>
            <w:vAlign w:val="center"/>
          </w:tcPr>
          <w:p w:rsidR="000A77BA" w:rsidRPr="00557223" w:rsidRDefault="000A77BA" w:rsidP="00C85CF6">
            <w:pPr>
              <w:jc w:val="center"/>
              <w:rPr>
                <w:iCs/>
                <w:sz w:val="20"/>
                <w:lang w:eastAsia="lt-LT"/>
              </w:rPr>
            </w:pPr>
            <w:r w:rsidRPr="00557223">
              <w:rPr>
                <w:iCs/>
                <w:sz w:val="20"/>
                <w:lang w:eastAsia="lt-LT"/>
              </w:rPr>
              <w:t>15</w:t>
            </w:r>
          </w:p>
        </w:tc>
      </w:tr>
      <w:tr w:rsidR="00557223" w:rsidRPr="00557223" w:rsidTr="00557223">
        <w:tc>
          <w:tcPr>
            <w:tcW w:w="392" w:type="pct"/>
          </w:tcPr>
          <w:p w:rsidR="000A77BA" w:rsidRPr="00557223" w:rsidRDefault="000A77BA" w:rsidP="00C85CF6">
            <w:pPr>
              <w:jc w:val="both"/>
              <w:rPr>
                <w:i/>
                <w:iCs/>
                <w:sz w:val="20"/>
                <w:lang w:eastAsia="lt-LT"/>
              </w:rPr>
            </w:pPr>
            <w:r w:rsidRPr="00557223">
              <w:rPr>
                <w:i/>
                <w:iCs/>
                <w:sz w:val="20"/>
                <w:lang w:eastAsia="lt-LT"/>
              </w:rPr>
              <w:t>001</w:t>
            </w:r>
          </w:p>
        </w:tc>
        <w:tc>
          <w:tcPr>
            <w:tcW w:w="321" w:type="pct"/>
          </w:tcPr>
          <w:p w:rsidR="000A77BA" w:rsidRPr="00557223" w:rsidRDefault="000A77BA" w:rsidP="00C85CF6">
            <w:pPr>
              <w:jc w:val="both"/>
              <w:rPr>
                <w:i/>
                <w:iCs/>
                <w:sz w:val="20"/>
                <w:lang w:eastAsia="lt-LT"/>
              </w:rPr>
            </w:pPr>
            <w:r w:rsidRPr="00557223">
              <w:rPr>
                <w:i/>
                <w:iCs/>
                <w:sz w:val="20"/>
                <w:lang w:eastAsia="lt-LT"/>
              </w:rPr>
              <w:t xml:space="preserve">Ugdymo kokybės, sporto ir modernios aplinkos užtikrinimo programa </w:t>
            </w:r>
          </w:p>
        </w:tc>
        <w:tc>
          <w:tcPr>
            <w:tcW w:w="328"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03"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95"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374"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318"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36"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20"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216"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234"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253"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254"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297"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259"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r>
      <w:tr w:rsidR="00557223" w:rsidRPr="00557223" w:rsidTr="00557223">
        <w:tc>
          <w:tcPr>
            <w:tcW w:w="392" w:type="pct"/>
          </w:tcPr>
          <w:p w:rsidR="000A77BA" w:rsidRPr="00557223" w:rsidRDefault="000A77BA" w:rsidP="00C85CF6">
            <w:pPr>
              <w:jc w:val="both"/>
              <w:rPr>
                <w:i/>
                <w:iCs/>
                <w:sz w:val="20"/>
                <w:lang w:eastAsia="lt-LT"/>
              </w:rPr>
            </w:pPr>
            <w:r w:rsidRPr="00557223">
              <w:rPr>
                <w:i/>
                <w:iCs/>
                <w:sz w:val="20"/>
                <w:lang w:eastAsia="lt-LT"/>
              </w:rPr>
              <w:t xml:space="preserve"> 001-01</w:t>
            </w:r>
          </w:p>
        </w:tc>
        <w:tc>
          <w:tcPr>
            <w:tcW w:w="321" w:type="pct"/>
          </w:tcPr>
          <w:p w:rsidR="000A77BA" w:rsidRPr="00557223" w:rsidRDefault="000A77BA" w:rsidP="00C85CF6">
            <w:pPr>
              <w:jc w:val="both"/>
              <w:rPr>
                <w:i/>
                <w:iCs/>
                <w:sz w:val="20"/>
                <w:lang w:eastAsia="lt-LT"/>
              </w:rPr>
            </w:pPr>
            <w:r w:rsidRPr="00557223">
              <w:rPr>
                <w:i/>
                <w:iCs/>
                <w:sz w:val="20"/>
                <w:lang w:eastAsia="lt-LT"/>
              </w:rPr>
              <w:t>Teikti kokybiškas ir prieinamas ikimokyklinio, priešmokyklinio, bendrojo, neformaliojo ugdymo paslaugas, atliepiant ateities ekonomikos poreikius</w:t>
            </w:r>
          </w:p>
        </w:tc>
        <w:tc>
          <w:tcPr>
            <w:tcW w:w="328"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03"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95"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374"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318"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36" w:type="pct"/>
            <w:shd w:val="clear" w:color="auto" w:fill="D9D9D9" w:themeFill="background1" w:themeFillShade="D9"/>
          </w:tcPr>
          <w:p w:rsidR="000A77BA" w:rsidRPr="00557223" w:rsidRDefault="000A77BA" w:rsidP="00C85CF6">
            <w:pPr>
              <w:jc w:val="both"/>
              <w:rPr>
                <w:i/>
                <w:iCs/>
                <w:sz w:val="20"/>
                <w:lang w:eastAsia="lt-LT"/>
              </w:rPr>
            </w:pPr>
          </w:p>
        </w:tc>
        <w:tc>
          <w:tcPr>
            <w:tcW w:w="420" w:type="pct"/>
            <w:shd w:val="clear" w:color="auto" w:fill="D9D9D9" w:themeFill="background1" w:themeFillShade="D9"/>
            <w:vAlign w:val="center"/>
          </w:tcPr>
          <w:p w:rsidR="000A77BA" w:rsidRPr="00557223" w:rsidRDefault="000A77BA" w:rsidP="00C85CF6">
            <w:pPr>
              <w:jc w:val="center"/>
              <w:rPr>
                <w:i/>
                <w:iCs/>
                <w:sz w:val="20"/>
                <w:lang w:eastAsia="lt-LT"/>
              </w:rPr>
            </w:pPr>
          </w:p>
        </w:tc>
        <w:tc>
          <w:tcPr>
            <w:tcW w:w="216" w:type="pct"/>
            <w:shd w:val="clear" w:color="auto" w:fill="D9D9D9" w:themeFill="background1" w:themeFillShade="D9"/>
            <w:vAlign w:val="center"/>
          </w:tcPr>
          <w:p w:rsidR="000A77BA" w:rsidRPr="00557223" w:rsidRDefault="000A77BA" w:rsidP="00C85CF6">
            <w:pPr>
              <w:jc w:val="center"/>
              <w:rPr>
                <w:iCs/>
                <w:sz w:val="20"/>
                <w:lang w:eastAsia="lt-LT"/>
              </w:rPr>
            </w:pPr>
          </w:p>
        </w:tc>
        <w:tc>
          <w:tcPr>
            <w:tcW w:w="234" w:type="pct"/>
            <w:shd w:val="clear" w:color="auto" w:fill="D9D9D9" w:themeFill="background1" w:themeFillShade="D9"/>
            <w:vAlign w:val="center"/>
          </w:tcPr>
          <w:p w:rsidR="000A77BA" w:rsidRPr="00557223" w:rsidRDefault="000A77BA" w:rsidP="00C85CF6">
            <w:pPr>
              <w:jc w:val="center"/>
              <w:rPr>
                <w:iCs/>
                <w:sz w:val="20"/>
                <w:lang w:eastAsia="lt-LT"/>
              </w:rPr>
            </w:pPr>
          </w:p>
        </w:tc>
        <w:tc>
          <w:tcPr>
            <w:tcW w:w="253" w:type="pct"/>
            <w:shd w:val="clear" w:color="auto" w:fill="D9D9D9" w:themeFill="background1" w:themeFillShade="D9"/>
            <w:vAlign w:val="center"/>
          </w:tcPr>
          <w:p w:rsidR="000A77BA" w:rsidRPr="00557223" w:rsidRDefault="000A77BA" w:rsidP="00C85CF6">
            <w:pPr>
              <w:jc w:val="center"/>
              <w:rPr>
                <w:iCs/>
                <w:sz w:val="20"/>
                <w:lang w:eastAsia="lt-LT"/>
              </w:rPr>
            </w:pPr>
          </w:p>
        </w:tc>
        <w:tc>
          <w:tcPr>
            <w:tcW w:w="254" w:type="pct"/>
            <w:shd w:val="clear" w:color="auto" w:fill="D9D9D9" w:themeFill="background1" w:themeFillShade="D9"/>
            <w:vAlign w:val="center"/>
          </w:tcPr>
          <w:p w:rsidR="000A77BA" w:rsidRPr="00557223" w:rsidRDefault="000A77BA" w:rsidP="00C85CF6">
            <w:pPr>
              <w:jc w:val="center"/>
              <w:rPr>
                <w:iCs/>
                <w:sz w:val="20"/>
                <w:lang w:eastAsia="lt-LT"/>
              </w:rPr>
            </w:pPr>
          </w:p>
        </w:tc>
        <w:tc>
          <w:tcPr>
            <w:tcW w:w="297" w:type="pct"/>
            <w:shd w:val="clear" w:color="auto" w:fill="D9D9D9" w:themeFill="background1" w:themeFillShade="D9"/>
            <w:vAlign w:val="center"/>
          </w:tcPr>
          <w:p w:rsidR="000A77BA" w:rsidRPr="00557223" w:rsidRDefault="000A77BA" w:rsidP="00C85CF6">
            <w:pPr>
              <w:jc w:val="center"/>
              <w:rPr>
                <w:iCs/>
                <w:sz w:val="20"/>
                <w:lang w:eastAsia="lt-LT"/>
              </w:rPr>
            </w:pPr>
          </w:p>
        </w:tc>
        <w:tc>
          <w:tcPr>
            <w:tcW w:w="259" w:type="pct"/>
            <w:shd w:val="clear" w:color="auto" w:fill="D9D9D9" w:themeFill="background1" w:themeFillShade="D9"/>
            <w:vAlign w:val="center"/>
          </w:tcPr>
          <w:p w:rsidR="000A77BA" w:rsidRPr="00557223" w:rsidRDefault="000A77BA" w:rsidP="00C85CF6">
            <w:pPr>
              <w:jc w:val="center"/>
              <w:rPr>
                <w:iCs/>
                <w:sz w:val="20"/>
                <w:lang w:eastAsia="lt-LT"/>
              </w:rPr>
            </w:pPr>
          </w:p>
        </w:tc>
      </w:tr>
      <w:tr w:rsidR="00557223" w:rsidRPr="00557223" w:rsidTr="00557223">
        <w:trPr>
          <w:trHeight w:val="4106"/>
        </w:trPr>
        <w:tc>
          <w:tcPr>
            <w:tcW w:w="392" w:type="pct"/>
          </w:tcPr>
          <w:p w:rsidR="000A77BA" w:rsidRPr="00557223" w:rsidRDefault="000A77BA" w:rsidP="00C85CF6">
            <w:pPr>
              <w:jc w:val="both"/>
              <w:rPr>
                <w:i/>
                <w:iCs/>
                <w:sz w:val="20"/>
                <w:lang w:eastAsia="lt-LT"/>
              </w:rPr>
            </w:pPr>
            <w:r w:rsidRPr="00557223">
              <w:rPr>
                <w:i/>
                <w:iCs/>
                <w:sz w:val="20"/>
                <w:lang w:eastAsia="lt-LT"/>
              </w:rPr>
              <w:lastRenderedPageBreak/>
              <w:t xml:space="preserve"> 001-01-01</w:t>
            </w:r>
          </w:p>
        </w:tc>
        <w:tc>
          <w:tcPr>
            <w:tcW w:w="321" w:type="pct"/>
          </w:tcPr>
          <w:p w:rsidR="000A77BA" w:rsidRPr="00557223" w:rsidRDefault="000A77BA" w:rsidP="00C85CF6">
            <w:pPr>
              <w:jc w:val="both"/>
              <w:rPr>
                <w:i/>
                <w:iCs/>
                <w:sz w:val="20"/>
                <w:lang w:eastAsia="lt-LT"/>
              </w:rPr>
            </w:pPr>
            <w:r w:rsidRPr="00557223">
              <w:rPr>
                <w:i/>
                <w:iCs/>
                <w:sz w:val="20"/>
                <w:lang w:eastAsia="lt-LT"/>
              </w:rPr>
              <w:t>Organizuoti  kokybišką ir prieinamą ugdymą ikimokyklinio ugdymo įstaigose, bendrojo ugdymo mokyklose bei neformaliojo vaikų švietimo įstaigose</w:t>
            </w:r>
          </w:p>
        </w:tc>
        <w:tc>
          <w:tcPr>
            <w:tcW w:w="328"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03"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95"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374"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318" w:type="pct"/>
            <w:shd w:val="clear" w:color="auto" w:fill="D9D9D9" w:themeFill="background1" w:themeFillShade="D9"/>
          </w:tcPr>
          <w:p w:rsidR="000A77BA" w:rsidRPr="00557223" w:rsidRDefault="000A77BA" w:rsidP="00C85CF6">
            <w:pPr>
              <w:jc w:val="both"/>
              <w:rPr>
                <w:iCs/>
                <w:color w:val="D9D9D9" w:themeColor="background1" w:themeShade="D9"/>
                <w:sz w:val="20"/>
                <w:lang w:eastAsia="lt-LT"/>
              </w:rPr>
            </w:pPr>
          </w:p>
        </w:tc>
        <w:tc>
          <w:tcPr>
            <w:tcW w:w="436" w:type="pct"/>
          </w:tcPr>
          <w:p w:rsidR="000A77BA" w:rsidRPr="00557223" w:rsidRDefault="000A77BA" w:rsidP="00C85CF6">
            <w:pPr>
              <w:jc w:val="both"/>
              <w:rPr>
                <w:i/>
                <w:iCs/>
                <w:sz w:val="20"/>
                <w:lang w:eastAsia="lt-LT"/>
              </w:rPr>
            </w:pPr>
            <w:r w:rsidRPr="00557223">
              <w:rPr>
                <w:i/>
                <w:iCs/>
                <w:sz w:val="20"/>
                <w:lang w:eastAsia="lt-LT"/>
              </w:rPr>
              <w:t>Pildoma rengiant Savivaldybės metinę veiklos ataskaitą</w:t>
            </w:r>
          </w:p>
        </w:tc>
        <w:tc>
          <w:tcPr>
            <w:tcW w:w="420" w:type="pct"/>
            <w:vAlign w:val="center"/>
          </w:tcPr>
          <w:p w:rsidR="000A77BA" w:rsidRPr="00557223" w:rsidRDefault="000A77BA" w:rsidP="00C85CF6">
            <w:pPr>
              <w:jc w:val="center"/>
              <w:rPr>
                <w:i/>
                <w:iCs/>
                <w:sz w:val="20"/>
                <w:lang w:eastAsia="lt-LT"/>
              </w:rPr>
            </w:pPr>
            <w:r w:rsidRPr="00557223">
              <w:rPr>
                <w:i/>
                <w:iCs/>
                <w:sz w:val="20"/>
                <w:lang w:eastAsia="lt-LT"/>
              </w:rPr>
              <w:t>...</w:t>
            </w:r>
          </w:p>
        </w:tc>
        <w:tc>
          <w:tcPr>
            <w:tcW w:w="216" w:type="pct"/>
            <w:vAlign w:val="center"/>
          </w:tcPr>
          <w:p w:rsidR="000A77BA" w:rsidRPr="00557223" w:rsidRDefault="000A77BA" w:rsidP="00C85CF6">
            <w:pPr>
              <w:jc w:val="center"/>
              <w:rPr>
                <w:iCs/>
                <w:sz w:val="20"/>
                <w:lang w:eastAsia="lt-LT"/>
              </w:rPr>
            </w:pPr>
            <w:r w:rsidRPr="00557223">
              <w:rPr>
                <w:iCs/>
                <w:sz w:val="20"/>
                <w:lang w:eastAsia="lt-LT"/>
              </w:rPr>
              <w:t>...</w:t>
            </w:r>
          </w:p>
        </w:tc>
        <w:tc>
          <w:tcPr>
            <w:tcW w:w="234" w:type="pct"/>
            <w:vMerge w:val="restart"/>
            <w:vAlign w:val="center"/>
          </w:tcPr>
          <w:p w:rsidR="000A77BA" w:rsidRPr="00557223" w:rsidRDefault="000A77BA" w:rsidP="001451E4">
            <w:pPr>
              <w:ind w:right="122"/>
              <w:jc w:val="center"/>
              <w:rPr>
                <w:iCs/>
                <w:sz w:val="20"/>
                <w:lang w:eastAsia="lt-LT"/>
              </w:rPr>
            </w:pPr>
            <w:r w:rsidRPr="00557223">
              <w:rPr>
                <w:iCs/>
                <w:sz w:val="20"/>
                <w:lang w:eastAsia="lt-LT"/>
              </w:rPr>
              <w:t>Atsižvelgiant į tai, kad 2023 m. buvo atnaujintas SVP, 2022 m. nenagrinėjami.</w:t>
            </w:r>
          </w:p>
        </w:tc>
        <w:tc>
          <w:tcPr>
            <w:tcW w:w="253" w:type="pct"/>
            <w:vAlign w:val="center"/>
          </w:tcPr>
          <w:p w:rsidR="000A77BA" w:rsidRPr="00557223" w:rsidRDefault="000A77BA" w:rsidP="00C85CF6">
            <w:pPr>
              <w:jc w:val="center"/>
              <w:rPr>
                <w:iCs/>
                <w:sz w:val="20"/>
                <w:lang w:eastAsia="lt-LT"/>
              </w:rPr>
            </w:pPr>
            <w:r w:rsidRPr="00557223">
              <w:rPr>
                <w:iCs/>
                <w:sz w:val="20"/>
                <w:lang w:eastAsia="lt-LT"/>
              </w:rPr>
              <w:t>...</w:t>
            </w:r>
          </w:p>
        </w:tc>
        <w:tc>
          <w:tcPr>
            <w:tcW w:w="254" w:type="pct"/>
            <w:vAlign w:val="center"/>
          </w:tcPr>
          <w:p w:rsidR="000A77BA" w:rsidRPr="00557223" w:rsidRDefault="000A77BA" w:rsidP="00C85CF6">
            <w:pPr>
              <w:jc w:val="center"/>
              <w:rPr>
                <w:iCs/>
                <w:sz w:val="20"/>
                <w:lang w:eastAsia="lt-LT"/>
              </w:rPr>
            </w:pPr>
            <w:r w:rsidRPr="00557223">
              <w:rPr>
                <w:iCs/>
                <w:sz w:val="20"/>
                <w:lang w:eastAsia="lt-LT"/>
              </w:rPr>
              <w:t>...</w:t>
            </w:r>
          </w:p>
        </w:tc>
        <w:tc>
          <w:tcPr>
            <w:tcW w:w="297" w:type="pct"/>
            <w:vAlign w:val="center"/>
          </w:tcPr>
          <w:p w:rsidR="000A77BA" w:rsidRPr="00557223" w:rsidRDefault="000A77BA" w:rsidP="00C85CF6">
            <w:pPr>
              <w:jc w:val="center"/>
              <w:rPr>
                <w:iCs/>
                <w:sz w:val="20"/>
                <w:lang w:eastAsia="lt-LT"/>
              </w:rPr>
            </w:pPr>
            <w:r w:rsidRPr="00557223">
              <w:rPr>
                <w:iCs/>
                <w:sz w:val="20"/>
                <w:lang w:eastAsia="lt-LT"/>
              </w:rPr>
              <w:t>...</w:t>
            </w:r>
          </w:p>
        </w:tc>
        <w:tc>
          <w:tcPr>
            <w:tcW w:w="259" w:type="pct"/>
            <w:vAlign w:val="center"/>
          </w:tcPr>
          <w:p w:rsidR="000A77BA" w:rsidRPr="00557223" w:rsidRDefault="000A77BA" w:rsidP="00C85CF6">
            <w:pPr>
              <w:jc w:val="center"/>
              <w:rPr>
                <w:iCs/>
                <w:sz w:val="20"/>
                <w:lang w:eastAsia="lt-LT"/>
              </w:rPr>
            </w:pPr>
            <w:r w:rsidRPr="00557223">
              <w:rPr>
                <w:iCs/>
                <w:sz w:val="20"/>
                <w:lang w:eastAsia="lt-LT"/>
              </w:rPr>
              <w:t>...</w:t>
            </w:r>
          </w:p>
        </w:tc>
      </w:tr>
      <w:tr w:rsidR="00557223" w:rsidRPr="00557223" w:rsidTr="00557223">
        <w:tc>
          <w:tcPr>
            <w:tcW w:w="392" w:type="pct"/>
            <w:vMerge w:val="restart"/>
          </w:tcPr>
          <w:p w:rsidR="00557223" w:rsidRPr="00557223" w:rsidRDefault="00557223" w:rsidP="00C85CF6">
            <w:pPr>
              <w:jc w:val="both"/>
              <w:rPr>
                <w:i/>
                <w:iCs/>
                <w:sz w:val="20"/>
                <w:lang w:eastAsia="lt-LT"/>
              </w:rPr>
            </w:pPr>
            <w:r w:rsidRPr="00557223">
              <w:rPr>
                <w:i/>
                <w:iCs/>
                <w:sz w:val="20"/>
                <w:lang w:eastAsia="lt-LT"/>
              </w:rPr>
              <w:t>001-01-01-09</w:t>
            </w:r>
          </w:p>
        </w:tc>
        <w:tc>
          <w:tcPr>
            <w:tcW w:w="321" w:type="pct"/>
            <w:vMerge w:val="restart"/>
          </w:tcPr>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Default="00557223" w:rsidP="001451E4">
            <w:pPr>
              <w:jc w:val="both"/>
              <w:rPr>
                <w:i/>
                <w:iCs/>
                <w:sz w:val="20"/>
                <w:lang w:eastAsia="lt-LT"/>
              </w:rPr>
            </w:pPr>
          </w:p>
          <w:p w:rsidR="00557223" w:rsidRPr="00557223" w:rsidRDefault="00557223" w:rsidP="001451E4">
            <w:pPr>
              <w:jc w:val="both"/>
              <w:rPr>
                <w:i/>
                <w:iCs/>
                <w:sz w:val="20"/>
                <w:lang w:eastAsia="lt-LT"/>
              </w:rPr>
            </w:pPr>
            <w:r w:rsidRPr="00557223">
              <w:rPr>
                <w:i/>
                <w:iCs/>
                <w:sz w:val="20"/>
                <w:lang w:eastAsia="lt-LT"/>
              </w:rPr>
              <w:t>„Saulės“ gimnazijos veikla</w:t>
            </w:r>
          </w:p>
        </w:tc>
        <w:tc>
          <w:tcPr>
            <w:tcW w:w="328" w:type="pct"/>
          </w:tcPr>
          <w:p w:rsidR="00557223" w:rsidRPr="00557223" w:rsidRDefault="00557223" w:rsidP="00C85CF6">
            <w:pPr>
              <w:jc w:val="both"/>
              <w:rPr>
                <w:iCs/>
                <w:sz w:val="20"/>
                <w:lang w:eastAsia="lt-LT"/>
              </w:rPr>
            </w:pPr>
            <w:r w:rsidRPr="00557223">
              <w:rPr>
                <w:iCs/>
                <w:sz w:val="20"/>
                <w:lang w:eastAsia="lt-LT"/>
              </w:rPr>
              <w:t>SB</w:t>
            </w:r>
          </w:p>
        </w:tc>
        <w:tc>
          <w:tcPr>
            <w:tcW w:w="403" w:type="pct"/>
          </w:tcPr>
          <w:p w:rsidR="00557223" w:rsidRPr="00557223" w:rsidRDefault="00557223" w:rsidP="00C85CF6">
            <w:pPr>
              <w:jc w:val="both"/>
              <w:rPr>
                <w:iCs/>
                <w:sz w:val="20"/>
                <w:lang w:eastAsia="lt-LT"/>
              </w:rPr>
            </w:pPr>
            <w:r w:rsidRPr="00557223">
              <w:rPr>
                <w:iCs/>
                <w:sz w:val="20"/>
                <w:lang w:eastAsia="lt-LT"/>
              </w:rPr>
              <w:t>444,600</w:t>
            </w:r>
          </w:p>
        </w:tc>
        <w:tc>
          <w:tcPr>
            <w:tcW w:w="495" w:type="pct"/>
          </w:tcPr>
          <w:p w:rsidR="00557223" w:rsidRPr="00557223" w:rsidRDefault="00557223" w:rsidP="00C85CF6">
            <w:pPr>
              <w:jc w:val="both"/>
              <w:rPr>
                <w:iCs/>
                <w:sz w:val="20"/>
                <w:lang w:eastAsia="lt-LT"/>
              </w:rPr>
            </w:pPr>
            <w:r w:rsidRPr="00557223">
              <w:rPr>
                <w:iCs/>
                <w:sz w:val="20"/>
                <w:lang w:eastAsia="lt-LT"/>
              </w:rPr>
              <w:t>437,600</w:t>
            </w:r>
          </w:p>
        </w:tc>
        <w:tc>
          <w:tcPr>
            <w:tcW w:w="374" w:type="pct"/>
          </w:tcPr>
          <w:p w:rsidR="00557223" w:rsidRPr="00557223" w:rsidRDefault="00557223" w:rsidP="00C85CF6">
            <w:pPr>
              <w:jc w:val="both"/>
              <w:rPr>
                <w:iCs/>
                <w:sz w:val="20"/>
                <w:lang w:eastAsia="lt-LT"/>
              </w:rPr>
            </w:pPr>
            <w:r w:rsidRPr="00557223">
              <w:rPr>
                <w:iCs/>
                <w:sz w:val="20"/>
                <w:lang w:eastAsia="lt-LT"/>
              </w:rPr>
              <w:t>437,598</w:t>
            </w:r>
          </w:p>
        </w:tc>
        <w:tc>
          <w:tcPr>
            <w:tcW w:w="318" w:type="pct"/>
          </w:tcPr>
          <w:p w:rsidR="00557223" w:rsidRPr="00557223" w:rsidRDefault="00557223" w:rsidP="00C85CF6">
            <w:pPr>
              <w:jc w:val="both"/>
              <w:rPr>
                <w:iCs/>
                <w:sz w:val="20"/>
                <w:lang w:eastAsia="lt-LT"/>
              </w:rPr>
            </w:pPr>
            <w:r w:rsidRPr="00557223">
              <w:rPr>
                <w:iCs/>
                <w:sz w:val="20"/>
                <w:lang w:eastAsia="lt-LT"/>
              </w:rPr>
              <w:t>100</w:t>
            </w:r>
          </w:p>
        </w:tc>
        <w:tc>
          <w:tcPr>
            <w:tcW w:w="436" w:type="pct"/>
            <w:vAlign w:val="center"/>
          </w:tcPr>
          <w:p w:rsidR="00557223" w:rsidRPr="00557223" w:rsidRDefault="00557223" w:rsidP="00F46AD9">
            <w:pPr>
              <w:jc w:val="both"/>
              <w:rPr>
                <w:sz w:val="20"/>
              </w:rPr>
            </w:pPr>
            <w:r w:rsidRPr="00557223">
              <w:rPr>
                <w:sz w:val="20"/>
              </w:rPr>
              <w:t>V-001-01-01-09-01 (VB)</w:t>
            </w:r>
          </w:p>
          <w:p w:rsidR="00557223" w:rsidRPr="00557223" w:rsidRDefault="00557223" w:rsidP="00F46AD9">
            <w:pPr>
              <w:jc w:val="both"/>
              <w:rPr>
                <w:sz w:val="20"/>
              </w:rPr>
            </w:pPr>
          </w:p>
          <w:p w:rsidR="00557223" w:rsidRPr="00557223" w:rsidRDefault="00557223" w:rsidP="00F46AD9">
            <w:pPr>
              <w:jc w:val="both"/>
              <w:rPr>
                <w:sz w:val="20"/>
              </w:rPr>
            </w:pPr>
          </w:p>
          <w:p w:rsidR="00557223" w:rsidRPr="00557223" w:rsidRDefault="00557223" w:rsidP="00F46AD9">
            <w:pPr>
              <w:jc w:val="both"/>
              <w:rPr>
                <w:sz w:val="20"/>
              </w:rPr>
            </w:pPr>
          </w:p>
          <w:p w:rsidR="00557223" w:rsidRPr="00557223" w:rsidRDefault="00557223" w:rsidP="00C85CF6">
            <w:pPr>
              <w:jc w:val="both"/>
              <w:rPr>
                <w:i/>
                <w:iCs/>
                <w:sz w:val="20"/>
                <w:lang w:eastAsia="lt-LT"/>
              </w:rPr>
            </w:pPr>
          </w:p>
        </w:tc>
        <w:tc>
          <w:tcPr>
            <w:tcW w:w="420" w:type="pct"/>
            <w:vAlign w:val="center"/>
          </w:tcPr>
          <w:p w:rsidR="00557223" w:rsidRPr="00557223" w:rsidRDefault="00557223" w:rsidP="008C13D5">
            <w:pPr>
              <w:rPr>
                <w:i/>
                <w:iCs/>
                <w:sz w:val="20"/>
                <w:lang w:eastAsia="lt-LT"/>
              </w:rPr>
            </w:pPr>
            <w:r w:rsidRPr="00557223">
              <w:rPr>
                <w:sz w:val="20"/>
              </w:rPr>
              <w:t>Tris ir daugiau valstybinių brandos egzaminų išlaikiusių abiturientų dalis</w:t>
            </w:r>
          </w:p>
        </w:tc>
        <w:tc>
          <w:tcPr>
            <w:tcW w:w="216" w:type="pct"/>
            <w:vAlign w:val="center"/>
          </w:tcPr>
          <w:p w:rsidR="00557223" w:rsidRPr="00557223" w:rsidRDefault="00557223" w:rsidP="00C85CF6">
            <w:pPr>
              <w:jc w:val="both"/>
              <w:rPr>
                <w:sz w:val="20"/>
              </w:rPr>
            </w:pPr>
            <w:r w:rsidRPr="00557223">
              <w:rPr>
                <w:sz w:val="20"/>
              </w:rPr>
              <w:t>proc</w:t>
            </w:r>
          </w:p>
          <w:p w:rsidR="00557223" w:rsidRPr="00557223" w:rsidRDefault="00557223" w:rsidP="00C85CF6">
            <w:pPr>
              <w:jc w:val="center"/>
              <w:rPr>
                <w:iCs/>
                <w:sz w:val="20"/>
                <w:lang w:eastAsia="lt-LT"/>
              </w:rPr>
            </w:pPr>
          </w:p>
        </w:tc>
        <w:tc>
          <w:tcPr>
            <w:tcW w:w="234" w:type="pct"/>
            <w:vMerge/>
            <w:vAlign w:val="center"/>
          </w:tcPr>
          <w:p w:rsidR="00557223" w:rsidRPr="00557223" w:rsidRDefault="00557223" w:rsidP="00C85CF6">
            <w:pPr>
              <w:jc w:val="center"/>
              <w:rPr>
                <w:iCs/>
                <w:sz w:val="20"/>
                <w:lang w:eastAsia="lt-LT"/>
              </w:rPr>
            </w:pPr>
          </w:p>
        </w:tc>
        <w:tc>
          <w:tcPr>
            <w:tcW w:w="253" w:type="pct"/>
            <w:vAlign w:val="center"/>
          </w:tcPr>
          <w:p w:rsidR="00557223" w:rsidRPr="00557223" w:rsidRDefault="00557223" w:rsidP="00C85CF6">
            <w:pPr>
              <w:jc w:val="center"/>
              <w:rPr>
                <w:iCs/>
                <w:sz w:val="20"/>
                <w:lang w:eastAsia="lt-LT"/>
              </w:rPr>
            </w:pPr>
            <w:r w:rsidRPr="00557223">
              <w:rPr>
                <w:iCs/>
                <w:sz w:val="20"/>
                <w:lang w:eastAsia="lt-LT"/>
              </w:rPr>
              <w:t>94</w:t>
            </w:r>
          </w:p>
        </w:tc>
        <w:tc>
          <w:tcPr>
            <w:tcW w:w="254" w:type="pct"/>
            <w:vAlign w:val="center"/>
          </w:tcPr>
          <w:p w:rsidR="00557223" w:rsidRPr="00557223" w:rsidRDefault="00557223" w:rsidP="00C85CF6">
            <w:pPr>
              <w:jc w:val="center"/>
              <w:rPr>
                <w:iCs/>
                <w:sz w:val="20"/>
                <w:lang w:eastAsia="lt-LT"/>
              </w:rPr>
            </w:pPr>
            <w:r w:rsidRPr="00557223">
              <w:rPr>
                <w:iCs/>
                <w:sz w:val="20"/>
                <w:lang w:eastAsia="lt-LT"/>
              </w:rPr>
              <w:t>96</w:t>
            </w:r>
          </w:p>
        </w:tc>
        <w:tc>
          <w:tcPr>
            <w:tcW w:w="297" w:type="pct"/>
            <w:vAlign w:val="center"/>
          </w:tcPr>
          <w:p w:rsidR="00557223" w:rsidRPr="00557223" w:rsidRDefault="00557223" w:rsidP="00C85CF6">
            <w:pPr>
              <w:jc w:val="center"/>
              <w:rPr>
                <w:iCs/>
                <w:sz w:val="20"/>
                <w:lang w:eastAsia="lt-LT"/>
              </w:rPr>
            </w:pPr>
            <w:r w:rsidRPr="00557223">
              <w:rPr>
                <w:iCs/>
                <w:sz w:val="20"/>
                <w:lang w:eastAsia="lt-LT"/>
              </w:rPr>
              <w:t>95</w:t>
            </w:r>
          </w:p>
        </w:tc>
        <w:tc>
          <w:tcPr>
            <w:tcW w:w="259" w:type="pct"/>
            <w:vAlign w:val="center"/>
          </w:tcPr>
          <w:p w:rsidR="00557223" w:rsidRPr="00557223" w:rsidRDefault="00557223" w:rsidP="00C85CF6">
            <w:pPr>
              <w:jc w:val="center"/>
              <w:rPr>
                <w:iCs/>
                <w:sz w:val="20"/>
                <w:lang w:eastAsia="lt-LT"/>
              </w:rPr>
            </w:pPr>
            <w:r w:rsidRPr="00557223">
              <w:rPr>
                <w:iCs/>
                <w:sz w:val="20"/>
                <w:lang w:eastAsia="lt-LT"/>
              </w:rPr>
              <w:t>101,05</w:t>
            </w:r>
          </w:p>
        </w:tc>
      </w:tr>
      <w:tr w:rsidR="00557223" w:rsidRPr="00557223" w:rsidTr="00557223">
        <w:trPr>
          <w:trHeight w:val="2735"/>
        </w:trPr>
        <w:tc>
          <w:tcPr>
            <w:tcW w:w="392" w:type="pct"/>
            <w:vMerge/>
          </w:tcPr>
          <w:p w:rsidR="00557223" w:rsidRPr="00557223" w:rsidRDefault="00557223" w:rsidP="00C85CF6">
            <w:pPr>
              <w:jc w:val="both"/>
              <w:rPr>
                <w:i/>
                <w:iCs/>
                <w:sz w:val="20"/>
                <w:lang w:eastAsia="lt-LT"/>
              </w:rPr>
            </w:pPr>
          </w:p>
        </w:tc>
        <w:tc>
          <w:tcPr>
            <w:tcW w:w="321" w:type="pct"/>
            <w:vMerge/>
          </w:tcPr>
          <w:p w:rsidR="00557223" w:rsidRPr="00557223" w:rsidRDefault="00557223" w:rsidP="00C85CF6">
            <w:pPr>
              <w:jc w:val="both"/>
              <w:rPr>
                <w:i/>
                <w:iCs/>
                <w:sz w:val="20"/>
                <w:lang w:eastAsia="lt-LT"/>
              </w:rPr>
            </w:pPr>
          </w:p>
        </w:tc>
        <w:tc>
          <w:tcPr>
            <w:tcW w:w="328" w:type="pct"/>
          </w:tcPr>
          <w:p w:rsidR="00557223" w:rsidRPr="00557223" w:rsidRDefault="00557223" w:rsidP="00C85CF6">
            <w:pPr>
              <w:jc w:val="both"/>
              <w:rPr>
                <w:iCs/>
                <w:sz w:val="20"/>
                <w:lang w:eastAsia="lt-LT"/>
              </w:rPr>
            </w:pPr>
            <w:r w:rsidRPr="00557223">
              <w:rPr>
                <w:iCs/>
                <w:sz w:val="20"/>
                <w:lang w:eastAsia="lt-LT"/>
              </w:rPr>
              <w:t>SB(VB)</w:t>
            </w:r>
          </w:p>
        </w:tc>
        <w:tc>
          <w:tcPr>
            <w:tcW w:w="403" w:type="pct"/>
          </w:tcPr>
          <w:p w:rsidR="00557223" w:rsidRPr="00557223" w:rsidRDefault="00557223" w:rsidP="00C85CF6">
            <w:pPr>
              <w:jc w:val="both"/>
              <w:rPr>
                <w:iCs/>
                <w:sz w:val="20"/>
                <w:lang w:eastAsia="lt-LT"/>
              </w:rPr>
            </w:pPr>
            <w:r w:rsidRPr="00557223">
              <w:rPr>
                <w:iCs/>
                <w:sz w:val="20"/>
                <w:lang w:eastAsia="lt-LT"/>
              </w:rPr>
              <w:t>1728,164</w:t>
            </w:r>
          </w:p>
        </w:tc>
        <w:tc>
          <w:tcPr>
            <w:tcW w:w="495" w:type="pct"/>
          </w:tcPr>
          <w:p w:rsidR="00557223" w:rsidRPr="00557223" w:rsidRDefault="00557223" w:rsidP="00C85CF6">
            <w:pPr>
              <w:jc w:val="both"/>
              <w:rPr>
                <w:iCs/>
                <w:sz w:val="20"/>
                <w:lang w:eastAsia="lt-LT"/>
              </w:rPr>
            </w:pPr>
            <w:r w:rsidRPr="00557223">
              <w:rPr>
                <w:iCs/>
                <w:sz w:val="20"/>
                <w:lang w:eastAsia="lt-LT"/>
              </w:rPr>
              <w:t>1868564</w:t>
            </w:r>
          </w:p>
        </w:tc>
        <w:tc>
          <w:tcPr>
            <w:tcW w:w="374" w:type="pct"/>
          </w:tcPr>
          <w:p w:rsidR="00557223" w:rsidRPr="00557223" w:rsidRDefault="00557223" w:rsidP="00C85CF6">
            <w:pPr>
              <w:jc w:val="both"/>
              <w:rPr>
                <w:iCs/>
                <w:sz w:val="20"/>
                <w:lang w:eastAsia="lt-LT"/>
              </w:rPr>
            </w:pPr>
            <w:r w:rsidRPr="00557223">
              <w:rPr>
                <w:iCs/>
                <w:sz w:val="20"/>
                <w:lang w:eastAsia="lt-LT"/>
              </w:rPr>
              <w:t>1968,517</w:t>
            </w:r>
          </w:p>
        </w:tc>
        <w:tc>
          <w:tcPr>
            <w:tcW w:w="318" w:type="pct"/>
          </w:tcPr>
          <w:p w:rsidR="00557223" w:rsidRPr="00557223" w:rsidRDefault="00557223" w:rsidP="00C85CF6">
            <w:pPr>
              <w:jc w:val="both"/>
              <w:rPr>
                <w:iCs/>
                <w:sz w:val="20"/>
                <w:lang w:eastAsia="lt-LT"/>
              </w:rPr>
            </w:pPr>
            <w:r w:rsidRPr="00557223">
              <w:rPr>
                <w:iCs/>
                <w:sz w:val="20"/>
                <w:lang w:eastAsia="lt-LT"/>
              </w:rPr>
              <w:t>100</w:t>
            </w:r>
          </w:p>
        </w:tc>
        <w:tc>
          <w:tcPr>
            <w:tcW w:w="436" w:type="pct"/>
            <w:vAlign w:val="center"/>
          </w:tcPr>
          <w:p w:rsidR="00557223" w:rsidRPr="00557223" w:rsidRDefault="00557223" w:rsidP="00C85CF6">
            <w:pPr>
              <w:jc w:val="both"/>
              <w:rPr>
                <w:sz w:val="20"/>
              </w:rPr>
            </w:pPr>
            <w:r w:rsidRPr="00557223">
              <w:rPr>
                <w:sz w:val="20"/>
              </w:rPr>
              <w:t>V-001-01-01-09-02 (VB)</w:t>
            </w: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i/>
                <w:iCs/>
                <w:sz w:val="20"/>
                <w:lang w:eastAsia="lt-LT"/>
              </w:rPr>
            </w:pPr>
          </w:p>
        </w:tc>
        <w:tc>
          <w:tcPr>
            <w:tcW w:w="420" w:type="pct"/>
            <w:vAlign w:val="center"/>
          </w:tcPr>
          <w:p w:rsidR="00557223" w:rsidRPr="00557223" w:rsidRDefault="00557223" w:rsidP="001451E4">
            <w:pPr>
              <w:jc w:val="both"/>
              <w:rPr>
                <w:sz w:val="20"/>
              </w:rPr>
            </w:pPr>
            <w:r w:rsidRPr="00557223">
              <w:rPr>
                <w:sz w:val="20"/>
              </w:rPr>
              <w:t>Be pateisinamos priežasties praleistų pamokų dalis nuo visų praleistų pamokų skaičiaus</w:t>
            </w:r>
          </w:p>
        </w:tc>
        <w:tc>
          <w:tcPr>
            <w:tcW w:w="216" w:type="pct"/>
            <w:vAlign w:val="center"/>
          </w:tcPr>
          <w:p w:rsidR="00557223" w:rsidRPr="00557223" w:rsidRDefault="00557223" w:rsidP="00C85CF6">
            <w:pPr>
              <w:jc w:val="both"/>
              <w:rPr>
                <w:sz w:val="20"/>
              </w:rPr>
            </w:pPr>
            <w:r w:rsidRPr="00557223">
              <w:rPr>
                <w:sz w:val="20"/>
              </w:rPr>
              <w:t>proc</w:t>
            </w:r>
          </w:p>
          <w:p w:rsidR="00557223" w:rsidRPr="00557223" w:rsidRDefault="00557223" w:rsidP="001451E4">
            <w:pPr>
              <w:jc w:val="both"/>
              <w:rPr>
                <w:sz w:val="20"/>
              </w:rPr>
            </w:pPr>
          </w:p>
        </w:tc>
        <w:tc>
          <w:tcPr>
            <w:tcW w:w="234" w:type="pct"/>
            <w:vMerge/>
            <w:vAlign w:val="center"/>
          </w:tcPr>
          <w:p w:rsidR="00557223" w:rsidRPr="00557223" w:rsidRDefault="00557223" w:rsidP="00C85CF6">
            <w:pPr>
              <w:jc w:val="center"/>
              <w:rPr>
                <w:iCs/>
                <w:sz w:val="20"/>
                <w:lang w:eastAsia="lt-LT"/>
              </w:rPr>
            </w:pPr>
          </w:p>
        </w:tc>
        <w:tc>
          <w:tcPr>
            <w:tcW w:w="253" w:type="pct"/>
            <w:vAlign w:val="center"/>
          </w:tcPr>
          <w:p w:rsidR="00557223" w:rsidRPr="00557223" w:rsidRDefault="00557223" w:rsidP="00C85CF6">
            <w:pPr>
              <w:jc w:val="center"/>
              <w:rPr>
                <w:iCs/>
                <w:sz w:val="20"/>
                <w:lang w:eastAsia="lt-LT"/>
              </w:rPr>
            </w:pPr>
            <w:r w:rsidRPr="00557223">
              <w:rPr>
                <w:iCs/>
                <w:sz w:val="20"/>
                <w:lang w:eastAsia="lt-LT"/>
              </w:rPr>
              <w:t>10,1</w:t>
            </w:r>
          </w:p>
        </w:tc>
        <w:tc>
          <w:tcPr>
            <w:tcW w:w="254" w:type="pct"/>
            <w:vAlign w:val="center"/>
          </w:tcPr>
          <w:p w:rsidR="00557223" w:rsidRPr="00557223" w:rsidRDefault="00557223" w:rsidP="00C85CF6">
            <w:pPr>
              <w:jc w:val="center"/>
              <w:rPr>
                <w:iCs/>
                <w:sz w:val="20"/>
                <w:lang w:eastAsia="lt-LT"/>
              </w:rPr>
            </w:pPr>
            <w:r w:rsidRPr="00557223">
              <w:rPr>
                <w:iCs/>
                <w:sz w:val="20"/>
                <w:lang w:eastAsia="lt-LT"/>
              </w:rPr>
              <w:t>9,7</w:t>
            </w:r>
          </w:p>
        </w:tc>
        <w:tc>
          <w:tcPr>
            <w:tcW w:w="297" w:type="pct"/>
            <w:vAlign w:val="center"/>
          </w:tcPr>
          <w:p w:rsidR="00557223" w:rsidRPr="00557223" w:rsidRDefault="00557223" w:rsidP="00C85CF6">
            <w:pPr>
              <w:jc w:val="center"/>
              <w:rPr>
                <w:iCs/>
                <w:sz w:val="20"/>
                <w:lang w:eastAsia="lt-LT"/>
              </w:rPr>
            </w:pPr>
            <w:r w:rsidRPr="00557223">
              <w:rPr>
                <w:iCs/>
                <w:sz w:val="20"/>
                <w:lang w:eastAsia="lt-LT"/>
              </w:rPr>
              <w:t>21,5</w:t>
            </w:r>
          </w:p>
        </w:tc>
        <w:tc>
          <w:tcPr>
            <w:tcW w:w="259" w:type="pct"/>
            <w:vAlign w:val="center"/>
          </w:tcPr>
          <w:p w:rsidR="00557223" w:rsidRPr="00557223" w:rsidRDefault="00557223" w:rsidP="00C85CF6">
            <w:pPr>
              <w:jc w:val="center"/>
              <w:rPr>
                <w:iCs/>
                <w:sz w:val="20"/>
                <w:lang w:eastAsia="lt-LT"/>
              </w:rPr>
            </w:pPr>
            <w:r w:rsidRPr="00557223">
              <w:rPr>
                <w:iCs/>
                <w:sz w:val="20"/>
                <w:lang w:eastAsia="lt-LT"/>
              </w:rPr>
              <w:t>45,12</w:t>
            </w:r>
          </w:p>
        </w:tc>
      </w:tr>
      <w:tr w:rsidR="00557223" w:rsidRPr="00557223" w:rsidTr="00557223">
        <w:tc>
          <w:tcPr>
            <w:tcW w:w="392" w:type="pct"/>
            <w:vMerge/>
          </w:tcPr>
          <w:p w:rsidR="00557223" w:rsidRPr="00557223" w:rsidRDefault="00557223" w:rsidP="00C85CF6">
            <w:pPr>
              <w:jc w:val="both"/>
              <w:rPr>
                <w:iCs/>
                <w:sz w:val="20"/>
                <w:lang w:eastAsia="lt-LT"/>
              </w:rPr>
            </w:pPr>
          </w:p>
        </w:tc>
        <w:tc>
          <w:tcPr>
            <w:tcW w:w="321" w:type="pct"/>
            <w:vMerge/>
          </w:tcPr>
          <w:p w:rsidR="00557223" w:rsidRPr="00557223" w:rsidRDefault="00557223" w:rsidP="00C85CF6">
            <w:pPr>
              <w:jc w:val="both"/>
              <w:rPr>
                <w:iCs/>
                <w:sz w:val="20"/>
                <w:lang w:eastAsia="lt-LT"/>
              </w:rPr>
            </w:pPr>
          </w:p>
        </w:tc>
        <w:tc>
          <w:tcPr>
            <w:tcW w:w="328" w:type="pct"/>
          </w:tcPr>
          <w:p w:rsidR="00557223" w:rsidRPr="00557223" w:rsidRDefault="00557223" w:rsidP="00C85CF6">
            <w:pPr>
              <w:jc w:val="both"/>
              <w:rPr>
                <w:iCs/>
                <w:sz w:val="20"/>
                <w:lang w:eastAsia="lt-LT"/>
              </w:rPr>
            </w:pPr>
            <w:r w:rsidRPr="00557223">
              <w:rPr>
                <w:iCs/>
                <w:sz w:val="20"/>
                <w:lang w:eastAsia="lt-LT"/>
              </w:rPr>
              <w:t>SB(SP)</w:t>
            </w:r>
          </w:p>
        </w:tc>
        <w:tc>
          <w:tcPr>
            <w:tcW w:w="403" w:type="pct"/>
          </w:tcPr>
          <w:p w:rsidR="00557223" w:rsidRPr="00557223" w:rsidRDefault="00557223" w:rsidP="00C85CF6">
            <w:pPr>
              <w:jc w:val="both"/>
              <w:rPr>
                <w:iCs/>
                <w:sz w:val="20"/>
                <w:lang w:eastAsia="lt-LT"/>
              </w:rPr>
            </w:pPr>
            <w:r w:rsidRPr="00557223">
              <w:rPr>
                <w:iCs/>
                <w:sz w:val="20"/>
                <w:lang w:eastAsia="lt-LT"/>
              </w:rPr>
              <w:t>7,000</w:t>
            </w:r>
          </w:p>
        </w:tc>
        <w:tc>
          <w:tcPr>
            <w:tcW w:w="495" w:type="pct"/>
          </w:tcPr>
          <w:p w:rsidR="00557223" w:rsidRPr="00557223" w:rsidRDefault="00557223" w:rsidP="00C85CF6">
            <w:pPr>
              <w:jc w:val="both"/>
              <w:rPr>
                <w:iCs/>
                <w:sz w:val="20"/>
                <w:lang w:eastAsia="lt-LT"/>
              </w:rPr>
            </w:pPr>
            <w:r w:rsidRPr="00557223">
              <w:rPr>
                <w:iCs/>
                <w:sz w:val="20"/>
                <w:lang w:eastAsia="lt-LT"/>
              </w:rPr>
              <w:t>6,500</w:t>
            </w:r>
          </w:p>
        </w:tc>
        <w:tc>
          <w:tcPr>
            <w:tcW w:w="374" w:type="pct"/>
          </w:tcPr>
          <w:p w:rsidR="00557223" w:rsidRPr="00557223" w:rsidRDefault="00557223" w:rsidP="00C85CF6">
            <w:pPr>
              <w:jc w:val="both"/>
              <w:rPr>
                <w:iCs/>
                <w:sz w:val="20"/>
                <w:lang w:eastAsia="lt-LT"/>
              </w:rPr>
            </w:pPr>
            <w:r w:rsidRPr="00557223">
              <w:rPr>
                <w:iCs/>
                <w:sz w:val="20"/>
                <w:lang w:eastAsia="lt-LT"/>
              </w:rPr>
              <w:t>6500</w:t>
            </w:r>
          </w:p>
        </w:tc>
        <w:tc>
          <w:tcPr>
            <w:tcW w:w="318" w:type="pct"/>
          </w:tcPr>
          <w:p w:rsidR="00557223" w:rsidRPr="00557223" w:rsidRDefault="00557223" w:rsidP="00C85CF6">
            <w:pPr>
              <w:jc w:val="both"/>
              <w:rPr>
                <w:iCs/>
                <w:sz w:val="20"/>
                <w:lang w:eastAsia="lt-LT"/>
              </w:rPr>
            </w:pPr>
            <w:r w:rsidRPr="00557223">
              <w:rPr>
                <w:iCs/>
                <w:sz w:val="20"/>
                <w:lang w:eastAsia="lt-LT"/>
              </w:rPr>
              <w:t>100</w:t>
            </w:r>
          </w:p>
        </w:tc>
        <w:tc>
          <w:tcPr>
            <w:tcW w:w="436" w:type="pct"/>
            <w:vAlign w:val="center"/>
          </w:tcPr>
          <w:p w:rsidR="00557223" w:rsidRPr="00557223" w:rsidRDefault="00557223" w:rsidP="00C85CF6">
            <w:pPr>
              <w:jc w:val="both"/>
              <w:rPr>
                <w:sz w:val="20"/>
              </w:rPr>
            </w:pPr>
            <w:r w:rsidRPr="00557223">
              <w:rPr>
                <w:sz w:val="20"/>
              </w:rPr>
              <w:t>V-001-01-01-09-03 (VB</w:t>
            </w:r>
          </w:p>
          <w:p w:rsidR="00557223" w:rsidRPr="00557223" w:rsidRDefault="00557223" w:rsidP="001451E4">
            <w:pPr>
              <w:jc w:val="both"/>
              <w:rPr>
                <w:i/>
                <w:iCs/>
                <w:sz w:val="20"/>
                <w:lang w:eastAsia="lt-LT"/>
              </w:rPr>
            </w:pPr>
          </w:p>
        </w:tc>
        <w:tc>
          <w:tcPr>
            <w:tcW w:w="420" w:type="pct"/>
            <w:vAlign w:val="center"/>
          </w:tcPr>
          <w:p w:rsidR="00557223" w:rsidRPr="00557223" w:rsidRDefault="00557223" w:rsidP="001451E4">
            <w:pPr>
              <w:jc w:val="both"/>
              <w:rPr>
                <w:sz w:val="20"/>
              </w:rPr>
            </w:pPr>
            <w:r w:rsidRPr="00557223">
              <w:rPr>
                <w:sz w:val="20"/>
              </w:rPr>
              <w:lastRenderedPageBreak/>
              <w:t xml:space="preserve">Pedagogų, kėlusių </w:t>
            </w:r>
            <w:r w:rsidRPr="00557223">
              <w:rPr>
                <w:sz w:val="20"/>
              </w:rPr>
              <w:lastRenderedPageBreak/>
              <w:t>kvalifikaciją,dalis</w:t>
            </w:r>
          </w:p>
        </w:tc>
        <w:tc>
          <w:tcPr>
            <w:tcW w:w="216" w:type="pct"/>
            <w:vAlign w:val="center"/>
          </w:tcPr>
          <w:p w:rsidR="00557223" w:rsidRPr="00557223" w:rsidRDefault="00557223" w:rsidP="00C85CF6">
            <w:pPr>
              <w:jc w:val="both"/>
              <w:rPr>
                <w:sz w:val="20"/>
              </w:rPr>
            </w:pPr>
            <w:r w:rsidRPr="00557223">
              <w:rPr>
                <w:sz w:val="20"/>
              </w:rPr>
              <w:lastRenderedPageBreak/>
              <w:t>koef.</w:t>
            </w: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1451E4">
            <w:pPr>
              <w:rPr>
                <w:iCs/>
                <w:sz w:val="20"/>
                <w:lang w:eastAsia="lt-LT"/>
              </w:rPr>
            </w:pPr>
          </w:p>
        </w:tc>
        <w:tc>
          <w:tcPr>
            <w:tcW w:w="234" w:type="pct"/>
            <w:vMerge/>
            <w:vAlign w:val="center"/>
          </w:tcPr>
          <w:p w:rsidR="00557223" w:rsidRPr="00557223" w:rsidRDefault="00557223" w:rsidP="00C85CF6">
            <w:pPr>
              <w:jc w:val="center"/>
              <w:rPr>
                <w:iCs/>
                <w:sz w:val="20"/>
                <w:lang w:eastAsia="lt-LT"/>
              </w:rPr>
            </w:pPr>
          </w:p>
        </w:tc>
        <w:tc>
          <w:tcPr>
            <w:tcW w:w="253" w:type="pct"/>
            <w:vAlign w:val="center"/>
          </w:tcPr>
          <w:p w:rsidR="00557223" w:rsidRPr="00557223" w:rsidRDefault="00557223" w:rsidP="00C85CF6">
            <w:pPr>
              <w:jc w:val="center"/>
              <w:rPr>
                <w:iCs/>
                <w:sz w:val="20"/>
                <w:lang w:eastAsia="lt-LT"/>
              </w:rPr>
            </w:pPr>
            <w:r w:rsidRPr="00557223">
              <w:rPr>
                <w:iCs/>
                <w:sz w:val="20"/>
                <w:lang w:eastAsia="lt-LT"/>
              </w:rPr>
              <w:t>100</w:t>
            </w:r>
          </w:p>
        </w:tc>
        <w:tc>
          <w:tcPr>
            <w:tcW w:w="254" w:type="pct"/>
            <w:vAlign w:val="center"/>
          </w:tcPr>
          <w:p w:rsidR="00557223" w:rsidRPr="00557223" w:rsidRDefault="00557223" w:rsidP="00C85CF6">
            <w:pPr>
              <w:jc w:val="center"/>
              <w:rPr>
                <w:iCs/>
                <w:sz w:val="20"/>
                <w:lang w:eastAsia="lt-LT"/>
              </w:rPr>
            </w:pPr>
            <w:r w:rsidRPr="00557223">
              <w:rPr>
                <w:iCs/>
                <w:sz w:val="20"/>
                <w:lang w:eastAsia="lt-LT"/>
              </w:rPr>
              <w:t>95</w:t>
            </w:r>
          </w:p>
        </w:tc>
        <w:tc>
          <w:tcPr>
            <w:tcW w:w="297" w:type="pct"/>
            <w:vAlign w:val="center"/>
          </w:tcPr>
          <w:p w:rsidR="00557223" w:rsidRPr="00557223" w:rsidRDefault="00557223" w:rsidP="00C85CF6">
            <w:pPr>
              <w:jc w:val="center"/>
              <w:rPr>
                <w:iCs/>
                <w:sz w:val="20"/>
                <w:lang w:eastAsia="lt-LT"/>
              </w:rPr>
            </w:pPr>
            <w:r w:rsidRPr="00557223">
              <w:rPr>
                <w:iCs/>
                <w:sz w:val="20"/>
                <w:lang w:eastAsia="lt-LT"/>
              </w:rPr>
              <w:t>54</w:t>
            </w:r>
          </w:p>
        </w:tc>
        <w:tc>
          <w:tcPr>
            <w:tcW w:w="259" w:type="pct"/>
            <w:vAlign w:val="center"/>
          </w:tcPr>
          <w:p w:rsidR="00557223" w:rsidRPr="00557223" w:rsidRDefault="00557223" w:rsidP="00C85CF6">
            <w:pPr>
              <w:jc w:val="center"/>
              <w:rPr>
                <w:iCs/>
                <w:sz w:val="20"/>
                <w:lang w:eastAsia="lt-LT"/>
              </w:rPr>
            </w:pPr>
            <w:r w:rsidRPr="00557223">
              <w:rPr>
                <w:iCs/>
                <w:sz w:val="20"/>
                <w:lang w:eastAsia="lt-LT"/>
              </w:rPr>
              <w:t>181,5</w:t>
            </w:r>
          </w:p>
        </w:tc>
      </w:tr>
      <w:tr w:rsidR="00557223" w:rsidRPr="00557223" w:rsidTr="00557223">
        <w:tc>
          <w:tcPr>
            <w:tcW w:w="392" w:type="pct"/>
            <w:vMerge/>
          </w:tcPr>
          <w:p w:rsidR="00557223" w:rsidRPr="00557223" w:rsidRDefault="00557223" w:rsidP="00C85CF6">
            <w:pPr>
              <w:jc w:val="both"/>
              <w:rPr>
                <w:iCs/>
                <w:sz w:val="20"/>
                <w:lang w:eastAsia="lt-LT"/>
              </w:rPr>
            </w:pPr>
          </w:p>
        </w:tc>
        <w:tc>
          <w:tcPr>
            <w:tcW w:w="321" w:type="pct"/>
            <w:vMerge/>
          </w:tcPr>
          <w:p w:rsidR="00557223" w:rsidRPr="00557223" w:rsidRDefault="00557223" w:rsidP="00C85CF6">
            <w:pPr>
              <w:jc w:val="both"/>
              <w:rPr>
                <w:iCs/>
                <w:sz w:val="20"/>
                <w:lang w:eastAsia="lt-LT"/>
              </w:rPr>
            </w:pPr>
          </w:p>
        </w:tc>
        <w:tc>
          <w:tcPr>
            <w:tcW w:w="328" w:type="pct"/>
          </w:tcPr>
          <w:p w:rsidR="00557223" w:rsidRPr="00557223" w:rsidRDefault="00557223" w:rsidP="00C85CF6">
            <w:pPr>
              <w:jc w:val="both"/>
              <w:rPr>
                <w:iCs/>
                <w:sz w:val="20"/>
                <w:lang w:eastAsia="lt-LT"/>
              </w:rPr>
            </w:pPr>
          </w:p>
        </w:tc>
        <w:tc>
          <w:tcPr>
            <w:tcW w:w="403" w:type="pct"/>
          </w:tcPr>
          <w:p w:rsidR="00557223" w:rsidRPr="00557223" w:rsidRDefault="00557223" w:rsidP="00C85CF6">
            <w:pPr>
              <w:jc w:val="both"/>
              <w:rPr>
                <w:iCs/>
                <w:sz w:val="20"/>
                <w:lang w:eastAsia="lt-LT"/>
              </w:rPr>
            </w:pPr>
          </w:p>
        </w:tc>
        <w:tc>
          <w:tcPr>
            <w:tcW w:w="495" w:type="pct"/>
          </w:tcPr>
          <w:p w:rsidR="00557223" w:rsidRPr="00557223" w:rsidRDefault="00557223" w:rsidP="00C85CF6">
            <w:pPr>
              <w:jc w:val="both"/>
              <w:rPr>
                <w:iCs/>
                <w:sz w:val="20"/>
                <w:lang w:eastAsia="lt-LT"/>
              </w:rPr>
            </w:pPr>
          </w:p>
        </w:tc>
        <w:tc>
          <w:tcPr>
            <w:tcW w:w="374" w:type="pct"/>
          </w:tcPr>
          <w:p w:rsidR="00557223" w:rsidRPr="00557223" w:rsidRDefault="00557223" w:rsidP="00C85CF6">
            <w:pPr>
              <w:jc w:val="both"/>
              <w:rPr>
                <w:iCs/>
                <w:sz w:val="20"/>
                <w:lang w:eastAsia="lt-LT"/>
              </w:rPr>
            </w:pPr>
          </w:p>
        </w:tc>
        <w:tc>
          <w:tcPr>
            <w:tcW w:w="318" w:type="pct"/>
          </w:tcPr>
          <w:p w:rsidR="00557223" w:rsidRPr="00557223" w:rsidRDefault="00557223" w:rsidP="00C85CF6">
            <w:pPr>
              <w:jc w:val="both"/>
              <w:rPr>
                <w:iCs/>
                <w:sz w:val="20"/>
                <w:lang w:eastAsia="lt-LT"/>
              </w:rPr>
            </w:pPr>
          </w:p>
        </w:tc>
        <w:tc>
          <w:tcPr>
            <w:tcW w:w="436" w:type="pct"/>
            <w:vAlign w:val="center"/>
          </w:tcPr>
          <w:p w:rsidR="00557223" w:rsidRPr="00557223" w:rsidRDefault="00557223" w:rsidP="00C85CF6">
            <w:pPr>
              <w:jc w:val="both"/>
              <w:rPr>
                <w:sz w:val="20"/>
              </w:rPr>
            </w:pPr>
            <w:r w:rsidRPr="00557223">
              <w:rPr>
                <w:sz w:val="20"/>
              </w:rPr>
              <w:t>V-001-01-01-09-04 (VB)</w:t>
            </w: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i/>
                <w:iCs/>
                <w:sz w:val="20"/>
                <w:lang w:eastAsia="lt-LT"/>
              </w:rPr>
            </w:pPr>
          </w:p>
        </w:tc>
        <w:tc>
          <w:tcPr>
            <w:tcW w:w="420" w:type="pct"/>
            <w:vAlign w:val="center"/>
          </w:tcPr>
          <w:p w:rsidR="00557223" w:rsidRPr="00557223" w:rsidRDefault="00557223" w:rsidP="00C85CF6">
            <w:pPr>
              <w:jc w:val="center"/>
              <w:rPr>
                <w:i/>
                <w:iCs/>
                <w:sz w:val="20"/>
                <w:lang w:eastAsia="lt-LT"/>
              </w:rPr>
            </w:pPr>
            <w:r w:rsidRPr="00557223">
              <w:rPr>
                <w:sz w:val="20"/>
              </w:rPr>
              <w:t>Švietimo pagalbos darbuotojų (etatų), tenkančių 100 mokinių, skaičius</w:t>
            </w:r>
          </w:p>
        </w:tc>
        <w:tc>
          <w:tcPr>
            <w:tcW w:w="216" w:type="pct"/>
            <w:vAlign w:val="center"/>
          </w:tcPr>
          <w:p w:rsidR="00557223" w:rsidRPr="00557223" w:rsidRDefault="00557223" w:rsidP="00C85CF6">
            <w:pPr>
              <w:jc w:val="both"/>
              <w:rPr>
                <w:sz w:val="20"/>
              </w:rPr>
            </w:pPr>
            <w:r w:rsidRPr="00557223">
              <w:rPr>
                <w:sz w:val="20"/>
              </w:rPr>
              <w:t>proc.</w:t>
            </w:r>
          </w:p>
          <w:p w:rsidR="00557223" w:rsidRPr="00557223" w:rsidRDefault="00557223" w:rsidP="001451E4">
            <w:pPr>
              <w:jc w:val="both"/>
              <w:rPr>
                <w:iCs/>
                <w:sz w:val="20"/>
                <w:lang w:eastAsia="lt-LT"/>
              </w:rPr>
            </w:pPr>
          </w:p>
        </w:tc>
        <w:tc>
          <w:tcPr>
            <w:tcW w:w="234" w:type="pct"/>
            <w:vMerge/>
            <w:vAlign w:val="center"/>
          </w:tcPr>
          <w:p w:rsidR="00557223" w:rsidRPr="00557223" w:rsidRDefault="00557223" w:rsidP="00C85CF6">
            <w:pPr>
              <w:jc w:val="center"/>
              <w:rPr>
                <w:iCs/>
                <w:sz w:val="20"/>
                <w:lang w:eastAsia="lt-LT"/>
              </w:rPr>
            </w:pPr>
          </w:p>
        </w:tc>
        <w:tc>
          <w:tcPr>
            <w:tcW w:w="253" w:type="pct"/>
            <w:vAlign w:val="center"/>
          </w:tcPr>
          <w:p w:rsidR="00557223" w:rsidRPr="00557223" w:rsidRDefault="00557223" w:rsidP="00C85CF6">
            <w:pPr>
              <w:jc w:val="center"/>
              <w:rPr>
                <w:iCs/>
                <w:sz w:val="20"/>
                <w:lang w:eastAsia="lt-LT"/>
              </w:rPr>
            </w:pPr>
            <w:r w:rsidRPr="00557223">
              <w:rPr>
                <w:iCs/>
                <w:sz w:val="20"/>
                <w:lang w:eastAsia="lt-LT"/>
              </w:rPr>
              <w:t>0,5</w:t>
            </w:r>
          </w:p>
        </w:tc>
        <w:tc>
          <w:tcPr>
            <w:tcW w:w="254" w:type="pct"/>
            <w:vAlign w:val="center"/>
          </w:tcPr>
          <w:p w:rsidR="00557223" w:rsidRPr="00557223" w:rsidRDefault="00557223" w:rsidP="00C85CF6">
            <w:pPr>
              <w:jc w:val="center"/>
              <w:rPr>
                <w:iCs/>
                <w:sz w:val="20"/>
                <w:lang w:eastAsia="lt-LT"/>
              </w:rPr>
            </w:pPr>
            <w:r w:rsidRPr="00557223">
              <w:rPr>
                <w:iCs/>
                <w:sz w:val="20"/>
                <w:lang w:eastAsia="lt-LT"/>
              </w:rPr>
              <w:t>0,5</w:t>
            </w:r>
          </w:p>
        </w:tc>
        <w:tc>
          <w:tcPr>
            <w:tcW w:w="297" w:type="pct"/>
            <w:vAlign w:val="center"/>
          </w:tcPr>
          <w:p w:rsidR="00557223" w:rsidRPr="00557223" w:rsidRDefault="00557223" w:rsidP="00C85CF6">
            <w:pPr>
              <w:jc w:val="center"/>
              <w:rPr>
                <w:iCs/>
                <w:sz w:val="20"/>
                <w:lang w:eastAsia="lt-LT"/>
              </w:rPr>
            </w:pPr>
            <w:r w:rsidRPr="00557223">
              <w:rPr>
                <w:iCs/>
                <w:sz w:val="20"/>
                <w:lang w:eastAsia="lt-LT"/>
              </w:rPr>
              <w:t>0,5</w:t>
            </w:r>
          </w:p>
        </w:tc>
        <w:tc>
          <w:tcPr>
            <w:tcW w:w="259" w:type="pct"/>
            <w:vAlign w:val="center"/>
          </w:tcPr>
          <w:p w:rsidR="00557223" w:rsidRPr="00557223" w:rsidRDefault="00557223" w:rsidP="00C85CF6">
            <w:pPr>
              <w:jc w:val="center"/>
              <w:rPr>
                <w:iCs/>
                <w:sz w:val="20"/>
                <w:lang w:eastAsia="lt-LT"/>
              </w:rPr>
            </w:pPr>
            <w:r w:rsidRPr="00557223">
              <w:rPr>
                <w:iCs/>
                <w:sz w:val="20"/>
                <w:lang w:eastAsia="lt-LT"/>
              </w:rPr>
              <w:t>181,50</w:t>
            </w:r>
          </w:p>
        </w:tc>
      </w:tr>
      <w:tr w:rsidR="00557223" w:rsidRPr="00557223" w:rsidTr="00557223">
        <w:tc>
          <w:tcPr>
            <w:tcW w:w="392" w:type="pct"/>
            <w:vMerge/>
          </w:tcPr>
          <w:p w:rsidR="00557223" w:rsidRPr="00557223" w:rsidRDefault="00557223" w:rsidP="00C85CF6">
            <w:pPr>
              <w:jc w:val="both"/>
              <w:rPr>
                <w:iCs/>
                <w:sz w:val="20"/>
                <w:lang w:eastAsia="lt-LT"/>
              </w:rPr>
            </w:pPr>
          </w:p>
        </w:tc>
        <w:tc>
          <w:tcPr>
            <w:tcW w:w="321" w:type="pct"/>
            <w:vMerge/>
          </w:tcPr>
          <w:p w:rsidR="00557223" w:rsidRPr="00557223" w:rsidRDefault="00557223" w:rsidP="00C85CF6">
            <w:pPr>
              <w:jc w:val="both"/>
              <w:rPr>
                <w:iCs/>
                <w:sz w:val="20"/>
                <w:lang w:eastAsia="lt-LT"/>
              </w:rPr>
            </w:pPr>
          </w:p>
        </w:tc>
        <w:tc>
          <w:tcPr>
            <w:tcW w:w="328" w:type="pct"/>
          </w:tcPr>
          <w:p w:rsidR="00557223" w:rsidRPr="00557223" w:rsidRDefault="00557223" w:rsidP="00C85CF6">
            <w:pPr>
              <w:jc w:val="both"/>
              <w:rPr>
                <w:iCs/>
                <w:sz w:val="20"/>
                <w:lang w:eastAsia="lt-LT"/>
              </w:rPr>
            </w:pPr>
          </w:p>
        </w:tc>
        <w:tc>
          <w:tcPr>
            <w:tcW w:w="403" w:type="pct"/>
          </w:tcPr>
          <w:p w:rsidR="00557223" w:rsidRPr="00557223" w:rsidRDefault="00557223" w:rsidP="00C85CF6">
            <w:pPr>
              <w:jc w:val="both"/>
              <w:rPr>
                <w:iCs/>
                <w:sz w:val="20"/>
                <w:lang w:eastAsia="lt-LT"/>
              </w:rPr>
            </w:pPr>
          </w:p>
        </w:tc>
        <w:tc>
          <w:tcPr>
            <w:tcW w:w="495" w:type="pct"/>
          </w:tcPr>
          <w:p w:rsidR="00557223" w:rsidRPr="00557223" w:rsidRDefault="00557223" w:rsidP="00C85CF6">
            <w:pPr>
              <w:jc w:val="both"/>
              <w:rPr>
                <w:iCs/>
                <w:sz w:val="20"/>
                <w:lang w:eastAsia="lt-LT"/>
              </w:rPr>
            </w:pPr>
          </w:p>
        </w:tc>
        <w:tc>
          <w:tcPr>
            <w:tcW w:w="374" w:type="pct"/>
          </w:tcPr>
          <w:p w:rsidR="00557223" w:rsidRPr="00557223" w:rsidRDefault="00557223" w:rsidP="00C85CF6">
            <w:pPr>
              <w:jc w:val="both"/>
              <w:rPr>
                <w:iCs/>
                <w:sz w:val="20"/>
                <w:lang w:eastAsia="lt-LT"/>
              </w:rPr>
            </w:pPr>
          </w:p>
        </w:tc>
        <w:tc>
          <w:tcPr>
            <w:tcW w:w="318" w:type="pct"/>
          </w:tcPr>
          <w:p w:rsidR="00557223" w:rsidRPr="00557223" w:rsidRDefault="00557223" w:rsidP="00C85CF6">
            <w:pPr>
              <w:jc w:val="both"/>
              <w:rPr>
                <w:iCs/>
                <w:sz w:val="20"/>
                <w:lang w:eastAsia="lt-LT"/>
              </w:rPr>
            </w:pPr>
          </w:p>
        </w:tc>
        <w:tc>
          <w:tcPr>
            <w:tcW w:w="436" w:type="pct"/>
            <w:vAlign w:val="center"/>
          </w:tcPr>
          <w:p w:rsidR="00557223" w:rsidRPr="00557223" w:rsidRDefault="00557223" w:rsidP="00C85CF6">
            <w:pPr>
              <w:jc w:val="both"/>
              <w:rPr>
                <w:sz w:val="20"/>
              </w:rPr>
            </w:pPr>
            <w:r w:rsidRPr="00557223">
              <w:rPr>
                <w:sz w:val="20"/>
              </w:rPr>
              <w:t>V-001-01-01-09-05 (VB)</w:t>
            </w: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sz w:val="20"/>
              </w:rPr>
            </w:pPr>
          </w:p>
          <w:p w:rsidR="00557223" w:rsidRPr="00557223" w:rsidRDefault="00557223" w:rsidP="00C85CF6">
            <w:pPr>
              <w:jc w:val="both"/>
              <w:rPr>
                <w:i/>
                <w:iCs/>
                <w:sz w:val="20"/>
                <w:highlight w:val="yellow"/>
                <w:lang w:eastAsia="lt-LT"/>
              </w:rPr>
            </w:pPr>
          </w:p>
        </w:tc>
        <w:tc>
          <w:tcPr>
            <w:tcW w:w="420" w:type="pct"/>
            <w:vAlign w:val="center"/>
          </w:tcPr>
          <w:p w:rsidR="00557223" w:rsidRPr="00557223" w:rsidRDefault="00557223" w:rsidP="00C85CF6">
            <w:pPr>
              <w:jc w:val="center"/>
              <w:rPr>
                <w:i/>
                <w:iCs/>
                <w:sz w:val="20"/>
                <w:highlight w:val="yellow"/>
                <w:lang w:eastAsia="lt-LT"/>
              </w:rPr>
            </w:pPr>
            <w:r w:rsidRPr="00557223">
              <w:rPr>
                <w:sz w:val="20"/>
              </w:rPr>
              <w:t>Mokinių, lankančių neformaliojo švietimo programas (organizuojamas mokyklos), dalis</w:t>
            </w:r>
          </w:p>
        </w:tc>
        <w:tc>
          <w:tcPr>
            <w:tcW w:w="216" w:type="pct"/>
            <w:vAlign w:val="center"/>
          </w:tcPr>
          <w:p w:rsidR="00557223" w:rsidRPr="00557223" w:rsidRDefault="00557223" w:rsidP="00C85CF6">
            <w:pPr>
              <w:jc w:val="both"/>
              <w:rPr>
                <w:sz w:val="20"/>
              </w:rPr>
            </w:pPr>
            <w:r w:rsidRPr="00557223">
              <w:rPr>
                <w:sz w:val="20"/>
              </w:rPr>
              <w:t>proc.</w:t>
            </w:r>
          </w:p>
          <w:p w:rsidR="00557223" w:rsidRPr="00557223" w:rsidRDefault="00557223" w:rsidP="00C85CF6">
            <w:pPr>
              <w:jc w:val="both"/>
              <w:rPr>
                <w:sz w:val="20"/>
              </w:rPr>
            </w:pPr>
          </w:p>
          <w:p w:rsidR="00557223" w:rsidRPr="00557223" w:rsidRDefault="00557223" w:rsidP="00C85CF6">
            <w:pPr>
              <w:jc w:val="center"/>
              <w:rPr>
                <w:iCs/>
                <w:sz w:val="20"/>
                <w:highlight w:val="yellow"/>
                <w:lang w:eastAsia="lt-LT"/>
              </w:rPr>
            </w:pPr>
          </w:p>
        </w:tc>
        <w:tc>
          <w:tcPr>
            <w:tcW w:w="234" w:type="pct"/>
            <w:vMerge/>
            <w:vAlign w:val="center"/>
          </w:tcPr>
          <w:p w:rsidR="00557223" w:rsidRPr="00557223" w:rsidRDefault="00557223" w:rsidP="00C85CF6">
            <w:pPr>
              <w:jc w:val="center"/>
              <w:rPr>
                <w:iCs/>
                <w:sz w:val="20"/>
                <w:highlight w:val="yellow"/>
                <w:lang w:eastAsia="lt-LT"/>
              </w:rPr>
            </w:pPr>
          </w:p>
        </w:tc>
        <w:tc>
          <w:tcPr>
            <w:tcW w:w="253" w:type="pct"/>
            <w:vAlign w:val="center"/>
          </w:tcPr>
          <w:p w:rsidR="00557223" w:rsidRPr="00557223" w:rsidRDefault="00557223" w:rsidP="00C85CF6">
            <w:pPr>
              <w:jc w:val="center"/>
              <w:rPr>
                <w:iCs/>
                <w:sz w:val="20"/>
                <w:lang w:eastAsia="lt-LT"/>
              </w:rPr>
            </w:pPr>
            <w:r w:rsidRPr="00557223">
              <w:rPr>
                <w:iCs/>
                <w:sz w:val="20"/>
                <w:lang w:eastAsia="lt-LT"/>
              </w:rPr>
              <w:t>42</w:t>
            </w:r>
          </w:p>
        </w:tc>
        <w:tc>
          <w:tcPr>
            <w:tcW w:w="254" w:type="pct"/>
            <w:vAlign w:val="center"/>
          </w:tcPr>
          <w:p w:rsidR="00557223" w:rsidRPr="00557223" w:rsidRDefault="00557223" w:rsidP="00C85CF6">
            <w:pPr>
              <w:jc w:val="center"/>
              <w:rPr>
                <w:iCs/>
                <w:sz w:val="20"/>
                <w:lang w:eastAsia="lt-LT"/>
              </w:rPr>
            </w:pPr>
            <w:r w:rsidRPr="00557223">
              <w:rPr>
                <w:iCs/>
                <w:sz w:val="20"/>
                <w:lang w:eastAsia="lt-LT"/>
              </w:rPr>
              <w:t>35</w:t>
            </w:r>
          </w:p>
        </w:tc>
        <w:tc>
          <w:tcPr>
            <w:tcW w:w="297" w:type="pct"/>
            <w:vAlign w:val="center"/>
          </w:tcPr>
          <w:p w:rsidR="00557223" w:rsidRPr="00557223" w:rsidRDefault="00557223" w:rsidP="00C85CF6">
            <w:pPr>
              <w:jc w:val="center"/>
              <w:rPr>
                <w:iCs/>
                <w:sz w:val="20"/>
                <w:lang w:eastAsia="lt-LT"/>
              </w:rPr>
            </w:pPr>
            <w:r w:rsidRPr="00557223">
              <w:rPr>
                <w:iCs/>
                <w:sz w:val="20"/>
                <w:lang w:eastAsia="lt-LT"/>
              </w:rPr>
              <w:t>42,5</w:t>
            </w:r>
          </w:p>
        </w:tc>
        <w:tc>
          <w:tcPr>
            <w:tcW w:w="259" w:type="pct"/>
            <w:vAlign w:val="center"/>
          </w:tcPr>
          <w:p w:rsidR="00557223" w:rsidRPr="00557223" w:rsidRDefault="00557223" w:rsidP="00C85CF6">
            <w:pPr>
              <w:jc w:val="center"/>
              <w:rPr>
                <w:iCs/>
                <w:sz w:val="20"/>
                <w:lang w:eastAsia="lt-LT"/>
              </w:rPr>
            </w:pPr>
            <w:r w:rsidRPr="00557223">
              <w:rPr>
                <w:iCs/>
                <w:sz w:val="20"/>
                <w:lang w:eastAsia="lt-LT"/>
              </w:rPr>
              <w:t>81,25</w:t>
            </w:r>
          </w:p>
        </w:tc>
      </w:tr>
      <w:tr w:rsidR="00557223" w:rsidRPr="00557223" w:rsidTr="00557223">
        <w:tc>
          <w:tcPr>
            <w:tcW w:w="392" w:type="pct"/>
          </w:tcPr>
          <w:p w:rsidR="00557223" w:rsidRPr="00557223" w:rsidRDefault="00557223" w:rsidP="00C85CF6">
            <w:pPr>
              <w:jc w:val="both"/>
              <w:rPr>
                <w:iCs/>
                <w:sz w:val="20"/>
                <w:lang w:eastAsia="lt-LT"/>
              </w:rPr>
            </w:pPr>
          </w:p>
        </w:tc>
        <w:tc>
          <w:tcPr>
            <w:tcW w:w="321" w:type="pct"/>
            <w:vMerge/>
          </w:tcPr>
          <w:p w:rsidR="00557223" w:rsidRPr="00557223" w:rsidRDefault="00557223" w:rsidP="00C85CF6">
            <w:pPr>
              <w:jc w:val="both"/>
              <w:rPr>
                <w:iCs/>
                <w:sz w:val="20"/>
                <w:lang w:eastAsia="lt-LT"/>
              </w:rPr>
            </w:pPr>
          </w:p>
        </w:tc>
        <w:tc>
          <w:tcPr>
            <w:tcW w:w="328" w:type="pct"/>
          </w:tcPr>
          <w:p w:rsidR="00557223" w:rsidRPr="00557223" w:rsidRDefault="00557223" w:rsidP="00C85CF6">
            <w:pPr>
              <w:jc w:val="both"/>
              <w:rPr>
                <w:iCs/>
                <w:sz w:val="20"/>
                <w:lang w:eastAsia="lt-LT"/>
              </w:rPr>
            </w:pPr>
          </w:p>
        </w:tc>
        <w:tc>
          <w:tcPr>
            <w:tcW w:w="403" w:type="pct"/>
          </w:tcPr>
          <w:p w:rsidR="00557223" w:rsidRPr="00557223" w:rsidRDefault="00557223" w:rsidP="00C85CF6">
            <w:pPr>
              <w:jc w:val="both"/>
              <w:rPr>
                <w:iCs/>
                <w:sz w:val="20"/>
                <w:lang w:eastAsia="lt-LT"/>
              </w:rPr>
            </w:pPr>
          </w:p>
        </w:tc>
        <w:tc>
          <w:tcPr>
            <w:tcW w:w="495" w:type="pct"/>
          </w:tcPr>
          <w:p w:rsidR="00557223" w:rsidRPr="00557223" w:rsidRDefault="00557223" w:rsidP="00C85CF6">
            <w:pPr>
              <w:jc w:val="both"/>
              <w:rPr>
                <w:iCs/>
                <w:sz w:val="20"/>
                <w:lang w:eastAsia="lt-LT"/>
              </w:rPr>
            </w:pPr>
          </w:p>
        </w:tc>
        <w:tc>
          <w:tcPr>
            <w:tcW w:w="374" w:type="pct"/>
          </w:tcPr>
          <w:p w:rsidR="00557223" w:rsidRPr="00557223" w:rsidRDefault="00557223" w:rsidP="00C85CF6">
            <w:pPr>
              <w:jc w:val="both"/>
              <w:rPr>
                <w:iCs/>
                <w:sz w:val="20"/>
                <w:lang w:eastAsia="lt-LT"/>
              </w:rPr>
            </w:pPr>
          </w:p>
        </w:tc>
        <w:tc>
          <w:tcPr>
            <w:tcW w:w="318" w:type="pct"/>
          </w:tcPr>
          <w:p w:rsidR="00557223" w:rsidRPr="00557223" w:rsidRDefault="00557223" w:rsidP="00C85CF6">
            <w:pPr>
              <w:jc w:val="both"/>
              <w:rPr>
                <w:iCs/>
                <w:sz w:val="20"/>
                <w:lang w:eastAsia="lt-LT"/>
              </w:rPr>
            </w:pPr>
          </w:p>
        </w:tc>
        <w:tc>
          <w:tcPr>
            <w:tcW w:w="436" w:type="pct"/>
            <w:vAlign w:val="center"/>
          </w:tcPr>
          <w:p w:rsidR="00557223" w:rsidRPr="00557223" w:rsidRDefault="00557223" w:rsidP="00C85CF6">
            <w:pPr>
              <w:jc w:val="both"/>
              <w:rPr>
                <w:sz w:val="20"/>
              </w:rPr>
            </w:pPr>
            <w:r w:rsidRPr="00557223">
              <w:rPr>
                <w:sz w:val="20"/>
              </w:rPr>
              <w:t>V-001-01-01-09-06</w:t>
            </w:r>
          </w:p>
        </w:tc>
        <w:tc>
          <w:tcPr>
            <w:tcW w:w="420" w:type="pct"/>
            <w:vAlign w:val="center"/>
          </w:tcPr>
          <w:p w:rsidR="00557223" w:rsidRPr="00557223" w:rsidRDefault="00557223" w:rsidP="00C85CF6">
            <w:pPr>
              <w:jc w:val="center"/>
              <w:rPr>
                <w:sz w:val="20"/>
              </w:rPr>
            </w:pPr>
            <w:r w:rsidRPr="00557223">
              <w:rPr>
                <w:sz w:val="20"/>
              </w:rPr>
              <w:t>Nepedagoginių darbuotojų etatų dalis nuo bendro darbuotojų etatų skaičiaus</w:t>
            </w:r>
          </w:p>
        </w:tc>
        <w:tc>
          <w:tcPr>
            <w:tcW w:w="216" w:type="pct"/>
            <w:vAlign w:val="center"/>
          </w:tcPr>
          <w:p w:rsidR="00557223" w:rsidRPr="00557223" w:rsidRDefault="00557223" w:rsidP="00C85CF6">
            <w:pPr>
              <w:jc w:val="center"/>
              <w:rPr>
                <w:iCs/>
                <w:sz w:val="20"/>
                <w:highlight w:val="yellow"/>
                <w:lang w:eastAsia="lt-LT"/>
              </w:rPr>
            </w:pPr>
          </w:p>
        </w:tc>
        <w:tc>
          <w:tcPr>
            <w:tcW w:w="234" w:type="pct"/>
            <w:vAlign w:val="center"/>
          </w:tcPr>
          <w:p w:rsidR="00557223" w:rsidRPr="00557223" w:rsidRDefault="00557223" w:rsidP="00C85CF6">
            <w:pPr>
              <w:jc w:val="center"/>
              <w:rPr>
                <w:iCs/>
                <w:sz w:val="20"/>
                <w:highlight w:val="yellow"/>
                <w:lang w:eastAsia="lt-LT"/>
              </w:rPr>
            </w:pPr>
          </w:p>
        </w:tc>
        <w:tc>
          <w:tcPr>
            <w:tcW w:w="253" w:type="pct"/>
            <w:vAlign w:val="center"/>
          </w:tcPr>
          <w:p w:rsidR="00557223" w:rsidRPr="00557223" w:rsidRDefault="00557223" w:rsidP="00C85CF6">
            <w:pPr>
              <w:jc w:val="center"/>
              <w:rPr>
                <w:iCs/>
                <w:sz w:val="20"/>
                <w:lang w:eastAsia="lt-LT"/>
              </w:rPr>
            </w:pPr>
            <w:r w:rsidRPr="00557223">
              <w:rPr>
                <w:iCs/>
                <w:sz w:val="20"/>
                <w:lang w:eastAsia="lt-LT"/>
              </w:rPr>
              <w:t>29</w:t>
            </w:r>
          </w:p>
        </w:tc>
        <w:tc>
          <w:tcPr>
            <w:tcW w:w="254" w:type="pct"/>
            <w:vAlign w:val="center"/>
          </w:tcPr>
          <w:p w:rsidR="00557223" w:rsidRPr="00557223" w:rsidRDefault="00557223" w:rsidP="00C85CF6">
            <w:pPr>
              <w:jc w:val="center"/>
              <w:rPr>
                <w:iCs/>
                <w:sz w:val="20"/>
                <w:lang w:eastAsia="lt-LT"/>
              </w:rPr>
            </w:pPr>
            <w:r w:rsidRPr="00557223">
              <w:rPr>
                <w:iCs/>
                <w:sz w:val="20"/>
                <w:lang w:eastAsia="lt-LT"/>
              </w:rPr>
              <w:t>29</w:t>
            </w:r>
          </w:p>
        </w:tc>
        <w:tc>
          <w:tcPr>
            <w:tcW w:w="297" w:type="pct"/>
            <w:vAlign w:val="center"/>
          </w:tcPr>
          <w:p w:rsidR="00557223" w:rsidRPr="00557223" w:rsidRDefault="00557223" w:rsidP="00C85CF6">
            <w:pPr>
              <w:jc w:val="center"/>
              <w:rPr>
                <w:iCs/>
                <w:sz w:val="20"/>
                <w:lang w:eastAsia="lt-LT"/>
              </w:rPr>
            </w:pPr>
            <w:r w:rsidRPr="00557223">
              <w:rPr>
                <w:iCs/>
                <w:sz w:val="20"/>
                <w:lang w:eastAsia="lt-LT"/>
              </w:rPr>
              <w:t>29</w:t>
            </w:r>
          </w:p>
        </w:tc>
        <w:tc>
          <w:tcPr>
            <w:tcW w:w="259" w:type="pct"/>
            <w:vAlign w:val="center"/>
          </w:tcPr>
          <w:p w:rsidR="00557223" w:rsidRPr="00557223" w:rsidRDefault="00557223" w:rsidP="00C85CF6">
            <w:pPr>
              <w:jc w:val="center"/>
              <w:rPr>
                <w:iCs/>
                <w:sz w:val="20"/>
                <w:lang w:eastAsia="lt-LT"/>
              </w:rPr>
            </w:pPr>
            <w:r w:rsidRPr="00557223">
              <w:rPr>
                <w:iCs/>
                <w:sz w:val="20"/>
                <w:lang w:eastAsia="lt-LT"/>
              </w:rPr>
              <w:t>100</w:t>
            </w:r>
          </w:p>
        </w:tc>
      </w:tr>
    </w:tbl>
    <w:p w:rsidR="000A77BA" w:rsidRPr="008C13D5" w:rsidRDefault="000A77BA" w:rsidP="000A77BA">
      <w:pPr>
        <w:suppressAutoHyphens/>
        <w:jc w:val="both"/>
        <w:textAlignment w:val="baseline"/>
        <w:rPr>
          <w:rFonts w:ascii="Palemonas" w:eastAsia="Calibri" w:hAnsi="Palemonas"/>
          <w:bCs/>
          <w:sz w:val="22"/>
          <w:szCs w:val="22"/>
          <w:lang w:eastAsia="lt-LT"/>
        </w:rPr>
      </w:pPr>
    </w:p>
    <w:p w:rsidR="0002040C" w:rsidRPr="00A33FF7" w:rsidRDefault="000A77BA" w:rsidP="0002040C">
      <w:pPr>
        <w:rPr>
          <w:rFonts w:eastAsia="Calibri"/>
          <w:bCs/>
          <w:i/>
          <w:szCs w:val="24"/>
          <w:lang w:eastAsia="lt-LT"/>
        </w:rPr>
      </w:pPr>
      <w:r w:rsidRPr="00510BCC">
        <w:rPr>
          <w:rFonts w:eastAsia="Calibri"/>
          <w:bCs/>
          <w:i/>
          <w:sz w:val="22"/>
          <w:szCs w:val="22"/>
          <w:shd w:val="clear" w:color="auto" w:fill="FFFFFF" w:themeFill="background1"/>
          <w:lang w:eastAsia="lt-LT"/>
        </w:rPr>
        <w:t>Priemonės „Saulės“ gimnazijos</w:t>
      </w:r>
      <w:r w:rsidRPr="00510BCC">
        <w:rPr>
          <w:i/>
          <w:iCs/>
          <w:sz w:val="22"/>
          <w:szCs w:val="22"/>
          <w:shd w:val="clear" w:color="auto" w:fill="FFFFFF" w:themeFill="background1"/>
          <w:lang w:eastAsia="lt-LT"/>
        </w:rPr>
        <w:t>“ veikla</w:t>
      </w:r>
      <w:r w:rsidRPr="00510BCC">
        <w:rPr>
          <w:rFonts w:eastAsia="Calibri"/>
          <w:bCs/>
          <w:i/>
          <w:sz w:val="22"/>
          <w:szCs w:val="22"/>
          <w:shd w:val="clear" w:color="auto" w:fill="FFFFFF" w:themeFill="background1"/>
          <w:lang w:eastAsia="lt-LT"/>
        </w:rPr>
        <w:t>“ metų pabaigoje patvirtinti asignavimai, įskaitant patikslinimus ataskaitiniam laikotarpiui, padidėjo daugiau</w:t>
      </w:r>
      <w:r w:rsidR="0002040C" w:rsidRPr="00510BCC">
        <w:rPr>
          <w:rFonts w:eastAsia="Calibri"/>
          <w:bCs/>
          <w:i/>
          <w:szCs w:val="24"/>
          <w:shd w:val="clear" w:color="auto" w:fill="FFFFFF" w:themeFill="background1"/>
          <w:lang w:eastAsia="lt-LT"/>
        </w:rPr>
        <w:t xml:space="preserve"> nei 6 </w:t>
      </w:r>
      <w:r w:rsidRPr="00510BCC">
        <w:rPr>
          <w:rFonts w:eastAsia="Calibri"/>
          <w:bCs/>
          <w:i/>
          <w:szCs w:val="24"/>
          <w:shd w:val="clear" w:color="auto" w:fill="FFFFFF" w:themeFill="background1"/>
          <w:lang w:eastAsia="lt-LT"/>
        </w:rPr>
        <w:t>proc. lyginant su asignavima</w:t>
      </w:r>
      <w:r w:rsidR="0002040C" w:rsidRPr="00510BCC">
        <w:rPr>
          <w:rFonts w:eastAsia="Calibri"/>
          <w:bCs/>
          <w:i/>
          <w:szCs w:val="24"/>
          <w:shd w:val="clear" w:color="auto" w:fill="FFFFFF" w:themeFill="background1"/>
          <w:lang w:eastAsia="lt-LT"/>
        </w:rPr>
        <w:t xml:space="preserve">is metų pradžioje, kadangi  padidėjo </w:t>
      </w:r>
      <w:r w:rsidR="0002040C">
        <w:rPr>
          <w:rFonts w:eastAsia="Calibri"/>
          <w:bCs/>
          <w:i/>
          <w:szCs w:val="24"/>
          <w:lang w:eastAsia="lt-LT"/>
        </w:rPr>
        <w:t>Mokymo lėšos (</w:t>
      </w:r>
      <w:r w:rsidR="007F6181">
        <w:rPr>
          <w:rFonts w:eastAsia="Calibri"/>
          <w:bCs/>
          <w:i/>
          <w:szCs w:val="24"/>
          <w:lang w:eastAsia="lt-LT"/>
        </w:rPr>
        <w:t xml:space="preserve">direktorės atlyginimo kintamosios dalies lėšos) </w:t>
      </w:r>
      <w:r w:rsidR="00B50FC5">
        <w:rPr>
          <w:rFonts w:eastAsia="Calibri"/>
          <w:bCs/>
          <w:i/>
          <w:szCs w:val="24"/>
          <w:lang w:eastAsia="lt-LT"/>
        </w:rPr>
        <w:t xml:space="preserve">– </w:t>
      </w:r>
      <w:r w:rsidR="007F6181">
        <w:rPr>
          <w:rFonts w:eastAsia="Calibri"/>
          <w:bCs/>
          <w:i/>
          <w:szCs w:val="24"/>
          <w:lang w:eastAsia="lt-LT"/>
        </w:rPr>
        <w:t xml:space="preserve">5,9 tūkst. Eur, </w:t>
      </w:r>
      <w:r w:rsidR="00372FA5">
        <w:rPr>
          <w:rFonts w:eastAsia="Calibri"/>
          <w:bCs/>
          <w:i/>
          <w:szCs w:val="24"/>
          <w:lang w:eastAsia="lt-LT"/>
        </w:rPr>
        <w:t xml:space="preserve">gautos </w:t>
      </w:r>
      <w:r w:rsidR="006B56B4">
        <w:rPr>
          <w:rFonts w:eastAsia="Calibri"/>
          <w:bCs/>
          <w:i/>
          <w:szCs w:val="24"/>
          <w:lang w:eastAsia="lt-LT"/>
        </w:rPr>
        <w:t>lėšos už VBE vykdymą</w:t>
      </w:r>
      <w:r w:rsidR="00B50FC5">
        <w:rPr>
          <w:rFonts w:eastAsia="Calibri"/>
          <w:bCs/>
          <w:i/>
          <w:szCs w:val="24"/>
          <w:lang w:eastAsia="lt-LT"/>
        </w:rPr>
        <w:t xml:space="preserve"> </w:t>
      </w:r>
      <w:r w:rsidR="00372FA5">
        <w:rPr>
          <w:rFonts w:eastAsia="Calibri"/>
          <w:bCs/>
          <w:i/>
          <w:szCs w:val="24"/>
          <w:lang w:eastAsia="lt-LT"/>
        </w:rPr>
        <w:t xml:space="preserve">– </w:t>
      </w:r>
      <w:r w:rsidR="00B50FC5">
        <w:rPr>
          <w:rFonts w:eastAsia="Calibri"/>
          <w:bCs/>
          <w:i/>
          <w:szCs w:val="24"/>
          <w:lang w:eastAsia="lt-LT"/>
        </w:rPr>
        <w:t>5,4 tūkst. Eur,</w:t>
      </w:r>
      <w:r w:rsidR="00372FA5">
        <w:rPr>
          <w:rFonts w:eastAsia="Calibri"/>
          <w:bCs/>
          <w:i/>
          <w:szCs w:val="24"/>
          <w:lang w:eastAsia="lt-LT"/>
        </w:rPr>
        <w:t xml:space="preserve"> gautos lėšos už </w:t>
      </w:r>
      <w:r w:rsidR="009E1E61">
        <w:rPr>
          <w:rFonts w:eastAsia="Calibri"/>
          <w:bCs/>
          <w:i/>
          <w:szCs w:val="24"/>
          <w:lang w:eastAsia="lt-LT"/>
        </w:rPr>
        <w:t>PUPP – 2,7 tūks</w:t>
      </w:r>
      <w:r w:rsidR="00DF7DCA">
        <w:rPr>
          <w:rFonts w:eastAsia="Calibri"/>
          <w:bCs/>
          <w:i/>
          <w:szCs w:val="24"/>
          <w:lang w:eastAsia="lt-LT"/>
        </w:rPr>
        <w:t>t</w:t>
      </w:r>
      <w:r w:rsidR="009E1E61">
        <w:rPr>
          <w:rFonts w:eastAsia="Calibri"/>
          <w:bCs/>
          <w:i/>
          <w:szCs w:val="24"/>
          <w:lang w:eastAsia="lt-LT"/>
        </w:rPr>
        <w:t xml:space="preserve">. Eur, </w:t>
      </w:r>
      <w:r w:rsidR="00EF3F48">
        <w:rPr>
          <w:rFonts w:eastAsia="Calibri"/>
          <w:bCs/>
          <w:i/>
          <w:szCs w:val="24"/>
          <w:lang w:eastAsia="lt-LT"/>
        </w:rPr>
        <w:t>Plungės rajono savivaldybės tarybos sprendimu skirtos lėšos: 57 tūk</w:t>
      </w:r>
      <w:r w:rsidR="00DF7DCA">
        <w:rPr>
          <w:rFonts w:eastAsia="Calibri"/>
          <w:bCs/>
          <w:i/>
          <w:szCs w:val="24"/>
          <w:lang w:eastAsia="lt-LT"/>
        </w:rPr>
        <w:t>st</w:t>
      </w:r>
      <w:r w:rsidR="00EF3F48">
        <w:rPr>
          <w:rFonts w:eastAsia="Calibri"/>
          <w:bCs/>
          <w:i/>
          <w:szCs w:val="24"/>
          <w:lang w:eastAsia="lt-LT"/>
        </w:rPr>
        <w:t xml:space="preserve">. Eur (2024-10-31), </w:t>
      </w:r>
      <w:r w:rsidR="002A7C55">
        <w:rPr>
          <w:rFonts w:eastAsia="Calibri"/>
          <w:bCs/>
          <w:i/>
          <w:szCs w:val="24"/>
          <w:lang w:eastAsia="lt-LT"/>
        </w:rPr>
        <w:t>69,4 tūkst. Eur (2024-11-28)</w:t>
      </w:r>
      <w:r w:rsidR="00AF7997">
        <w:rPr>
          <w:rFonts w:eastAsia="Calibri"/>
          <w:bCs/>
          <w:i/>
          <w:szCs w:val="24"/>
          <w:lang w:eastAsia="lt-LT"/>
        </w:rPr>
        <w:t>. Viso asignavimai padėjo 140,4</w:t>
      </w:r>
      <w:r w:rsidR="002A7C55">
        <w:rPr>
          <w:rFonts w:eastAsia="Calibri"/>
          <w:bCs/>
          <w:i/>
          <w:szCs w:val="24"/>
          <w:lang w:eastAsia="lt-LT"/>
        </w:rPr>
        <w:t xml:space="preserve"> tūkst.</w:t>
      </w:r>
      <w:r w:rsidR="00C20B41">
        <w:rPr>
          <w:rFonts w:eastAsia="Calibri"/>
          <w:bCs/>
          <w:i/>
          <w:szCs w:val="24"/>
          <w:lang w:eastAsia="lt-LT"/>
        </w:rPr>
        <w:t xml:space="preserve"> Eur. </w:t>
      </w:r>
      <w:r w:rsidR="0002040C" w:rsidRPr="0002040C">
        <w:rPr>
          <w:rFonts w:eastAsia="Calibri"/>
          <w:bCs/>
          <w:i/>
          <w:szCs w:val="24"/>
          <w:lang w:eastAsia="lt-LT"/>
        </w:rPr>
        <w:t xml:space="preserve">Savarankiškoms savivaldybės funkcijoms </w:t>
      </w:r>
      <w:r w:rsidR="004A1361">
        <w:rPr>
          <w:rFonts w:eastAsia="Calibri"/>
          <w:bCs/>
          <w:i/>
          <w:szCs w:val="24"/>
          <w:lang w:eastAsia="lt-LT"/>
        </w:rPr>
        <w:t xml:space="preserve">lėšos padidėjo </w:t>
      </w:r>
      <w:r w:rsidR="0002040C" w:rsidRPr="0002040C">
        <w:rPr>
          <w:rFonts w:eastAsia="Calibri"/>
          <w:bCs/>
          <w:i/>
          <w:szCs w:val="24"/>
          <w:lang w:eastAsia="lt-LT"/>
        </w:rPr>
        <w:t>7,0 tūkst.</w:t>
      </w:r>
      <w:r w:rsidR="004A1361">
        <w:rPr>
          <w:rFonts w:eastAsia="Calibri"/>
          <w:bCs/>
          <w:i/>
          <w:szCs w:val="24"/>
          <w:lang w:eastAsia="lt-LT"/>
        </w:rPr>
        <w:t xml:space="preserve"> Eur. </w:t>
      </w:r>
    </w:p>
    <w:p w:rsidR="000A77BA" w:rsidRPr="00033D25" w:rsidRDefault="000A77BA" w:rsidP="005155C1">
      <w:pPr>
        <w:jc w:val="both"/>
        <w:rPr>
          <w:rFonts w:ascii="Palemonas" w:hAnsi="Palemonas"/>
          <w:iCs/>
          <w:szCs w:val="24"/>
          <w:lang w:eastAsia="lt-LT"/>
        </w:rPr>
      </w:pPr>
    </w:p>
    <w:p w:rsidR="00F1061A" w:rsidRDefault="00F1061A" w:rsidP="005155C1">
      <w:pPr>
        <w:jc w:val="both"/>
        <w:rPr>
          <w:rFonts w:ascii="Palemonas" w:hAnsi="Palemonas"/>
          <w:i/>
          <w:iCs/>
          <w:szCs w:val="24"/>
          <w:lang w:eastAsia="lt-LT"/>
        </w:rPr>
      </w:pPr>
    </w:p>
    <w:p w:rsidR="00F1061A" w:rsidRDefault="00665D9B" w:rsidP="005155C1">
      <w:pPr>
        <w:suppressAutoHyphens/>
        <w:jc w:val="both"/>
        <w:textAlignment w:val="baseline"/>
        <w:rPr>
          <w:bCs/>
          <w:szCs w:val="24"/>
          <w:lang w:eastAsia="lt-LT"/>
        </w:rPr>
      </w:pPr>
      <w:r w:rsidRPr="00665D9B">
        <w:rPr>
          <w:bCs/>
          <w:szCs w:val="24"/>
          <w:lang w:eastAsia="lt-LT"/>
        </w:rPr>
        <w:t>Plungės „Saulės“ gimnazijos</w:t>
      </w:r>
    </w:p>
    <w:p w:rsidR="005155C1" w:rsidRPr="00665D9B" w:rsidRDefault="00665D9B" w:rsidP="005155C1">
      <w:pPr>
        <w:suppressAutoHyphens/>
        <w:jc w:val="both"/>
        <w:textAlignment w:val="baseline"/>
        <w:rPr>
          <w:bCs/>
          <w:szCs w:val="24"/>
          <w:lang w:eastAsia="lt-LT"/>
        </w:rPr>
      </w:pPr>
      <w:r w:rsidRPr="00665D9B">
        <w:rPr>
          <w:bCs/>
          <w:szCs w:val="24"/>
          <w:lang w:eastAsia="lt-LT"/>
        </w:rPr>
        <w:t xml:space="preserve"> direktorė                                                    </w:t>
      </w:r>
      <w:r>
        <w:rPr>
          <w:bCs/>
          <w:szCs w:val="24"/>
          <w:lang w:eastAsia="lt-LT"/>
        </w:rPr>
        <w:t xml:space="preserve">   </w:t>
      </w:r>
      <w:r w:rsidR="00F1061A">
        <w:rPr>
          <w:bCs/>
          <w:szCs w:val="24"/>
          <w:lang w:eastAsia="lt-LT"/>
        </w:rPr>
        <w:t xml:space="preserve">                                               </w:t>
      </w:r>
      <w:r w:rsidRPr="00665D9B">
        <w:rPr>
          <w:bCs/>
          <w:szCs w:val="24"/>
          <w:lang w:eastAsia="lt-LT"/>
        </w:rPr>
        <w:t>Dalia Uščinienė</w:t>
      </w:r>
    </w:p>
    <w:p w:rsidR="005155C1" w:rsidRDefault="005155C1" w:rsidP="005155C1">
      <w:pPr>
        <w:tabs>
          <w:tab w:val="left" w:pos="4111"/>
          <w:tab w:val="left" w:pos="6946"/>
        </w:tabs>
        <w:rPr>
          <w:rFonts w:ascii="Palemonas" w:hAnsi="Palemonas"/>
          <w:i/>
          <w:szCs w:val="24"/>
          <w:lang w:eastAsia="lt-LT"/>
        </w:rPr>
      </w:pPr>
      <w:r>
        <w:rPr>
          <w:rFonts w:ascii="Palemonas" w:hAnsi="Palemonas"/>
          <w:bCs/>
          <w:i/>
          <w:szCs w:val="24"/>
          <w:lang w:eastAsia="lt-LT"/>
        </w:rPr>
        <w:t>(Pareigos)</w:t>
      </w:r>
      <w:r>
        <w:rPr>
          <w:rFonts w:ascii="Palemonas" w:hAnsi="Palemonas"/>
          <w:bCs/>
          <w:i/>
          <w:szCs w:val="24"/>
          <w:lang w:eastAsia="lt-LT"/>
        </w:rPr>
        <w:tab/>
        <w:t>(Parašas)</w:t>
      </w:r>
      <w:r>
        <w:rPr>
          <w:rFonts w:ascii="Palemonas" w:hAnsi="Palemonas"/>
          <w:bCs/>
          <w:i/>
          <w:szCs w:val="24"/>
          <w:lang w:eastAsia="lt-LT"/>
        </w:rPr>
        <w:tab/>
        <w:t>(Vardas ir pavardė)</w:t>
      </w:r>
    </w:p>
    <w:p w:rsidR="005155C1" w:rsidRDefault="00AE164B" w:rsidP="005155C1">
      <w:pPr>
        <w:tabs>
          <w:tab w:val="left" w:pos="6237"/>
          <w:tab w:val="right" w:pos="8306"/>
        </w:tabs>
        <w:jc w:val="center"/>
        <w:rPr>
          <w:szCs w:val="24"/>
        </w:rPr>
      </w:pPr>
      <w:r>
        <w:rPr>
          <w:rFonts w:ascii="Palemonas" w:hAnsi="Palemonas"/>
          <w:color w:val="000000"/>
          <w:szCs w:val="24"/>
          <w:lang w:eastAsia="lt-LT"/>
        </w:rPr>
        <w:t xml:space="preserve">                        </w:t>
      </w:r>
      <w:r w:rsidR="005155C1">
        <w:rPr>
          <w:rFonts w:ascii="Palemonas" w:hAnsi="Palemonas"/>
          <w:color w:val="000000"/>
          <w:szCs w:val="24"/>
          <w:lang w:eastAsia="lt-LT"/>
        </w:rPr>
        <w:t>____________________</w:t>
      </w:r>
    </w:p>
    <w:p w:rsidR="008A7506" w:rsidRDefault="008A7506" w:rsidP="00F67A84">
      <w:pPr>
        <w:tabs>
          <w:tab w:val="left" w:pos="5103"/>
        </w:tabs>
        <w:jc w:val="both"/>
        <w:rPr>
          <w:color w:val="000000"/>
          <w:lang w:eastAsia="lt-LT"/>
        </w:rPr>
      </w:pPr>
    </w:p>
    <w:sectPr w:rsidR="008A7506" w:rsidSect="000A77BA">
      <w:pgSz w:w="16840" w:h="11907" w:orient="landscape" w:code="9"/>
      <w:pgMar w:top="1701" w:right="1134" w:bottom="567"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6A" w:rsidRDefault="00C4386A">
      <w:pPr>
        <w:rPr>
          <w:sz w:val="20"/>
        </w:rPr>
      </w:pPr>
      <w:r>
        <w:rPr>
          <w:sz w:val="20"/>
        </w:rPr>
        <w:separator/>
      </w:r>
    </w:p>
  </w:endnote>
  <w:endnote w:type="continuationSeparator" w:id="0">
    <w:p w:rsidR="00C4386A" w:rsidRDefault="00C4386A">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6A" w:rsidRDefault="00C4386A">
      <w:pPr>
        <w:rPr>
          <w:sz w:val="20"/>
        </w:rPr>
      </w:pPr>
      <w:r>
        <w:rPr>
          <w:sz w:val="20"/>
        </w:rPr>
        <w:separator/>
      </w:r>
    </w:p>
  </w:footnote>
  <w:footnote w:type="continuationSeparator" w:id="0">
    <w:p w:rsidR="00C4386A" w:rsidRDefault="00C4386A">
      <w:pPr>
        <w:rPr>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408A"/>
    <w:multiLevelType w:val="hybridMultilevel"/>
    <w:tmpl w:val="1682C8E0"/>
    <w:lvl w:ilvl="0" w:tplc="B2AC0F6C">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8C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944ED"/>
    <w:multiLevelType w:val="hybridMultilevel"/>
    <w:tmpl w:val="BD40E642"/>
    <w:lvl w:ilvl="0" w:tplc="9460CF6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BFD0AB0"/>
    <w:multiLevelType w:val="hybridMultilevel"/>
    <w:tmpl w:val="A9B65436"/>
    <w:lvl w:ilvl="0" w:tplc="33D6E5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E23250"/>
    <w:multiLevelType w:val="hybridMultilevel"/>
    <w:tmpl w:val="67629140"/>
    <w:lvl w:ilvl="0" w:tplc="C70006D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9C6C37"/>
    <w:multiLevelType w:val="hybridMultilevel"/>
    <w:tmpl w:val="A3EADC84"/>
    <w:lvl w:ilvl="0" w:tplc="2CECA844">
      <w:start w:val="1"/>
      <w:numFmt w:val="decimal"/>
      <w:lvlText w:val="%1."/>
      <w:lvlJc w:val="left"/>
      <w:pPr>
        <w:ind w:left="1080" w:hanging="360"/>
      </w:pPr>
      <w:rPr>
        <w:b w:val="0"/>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9AA39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AB07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950BF3"/>
    <w:multiLevelType w:val="hybridMultilevel"/>
    <w:tmpl w:val="3C143B22"/>
    <w:lvl w:ilvl="0" w:tplc="D9FE824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093247"/>
    <w:multiLevelType w:val="multilevel"/>
    <w:tmpl w:val="FCDE5D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124CF8"/>
    <w:multiLevelType w:val="hybridMultilevel"/>
    <w:tmpl w:val="3E547F2E"/>
    <w:lvl w:ilvl="0" w:tplc="AA1A5B12">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4033F0"/>
    <w:multiLevelType w:val="multilevel"/>
    <w:tmpl w:val="6F6C0BC4"/>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8F0CBF"/>
    <w:multiLevelType w:val="hybridMultilevel"/>
    <w:tmpl w:val="5960374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3516768"/>
    <w:multiLevelType w:val="multilevel"/>
    <w:tmpl w:val="BAA251BA"/>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54A0341"/>
    <w:multiLevelType w:val="multilevel"/>
    <w:tmpl w:val="00D2B06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61326A4"/>
    <w:multiLevelType w:val="multilevel"/>
    <w:tmpl w:val="448E6EE4"/>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F62001"/>
    <w:multiLevelType w:val="hybridMultilevel"/>
    <w:tmpl w:val="211C7A88"/>
    <w:lvl w:ilvl="0" w:tplc="FA54024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41231B2B"/>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decimal"/>
      <w:lvlText w:val="%1.%2."/>
      <w:lvlJc w:val="left"/>
      <w:pPr>
        <w:tabs>
          <w:tab w:val="num" w:pos="108"/>
        </w:tabs>
        <w:ind w:left="828" w:hanging="360"/>
      </w:pPr>
      <w:rPr>
        <w:rFonts w:ascii="Arial" w:hAnsi="Arial" w:cs="Arial"/>
        <w:color w:val="000000"/>
        <w:sz w:val="24"/>
        <w:szCs w:val="24"/>
      </w:rPr>
    </w:lvl>
    <w:lvl w:ilvl="2">
      <w:start w:val="1"/>
      <w:numFmt w:val="decimal"/>
      <w:lvlText w:val="%1.%2.%3."/>
      <w:lvlJc w:val="left"/>
      <w:pPr>
        <w:tabs>
          <w:tab w:val="num" w:pos="108"/>
        </w:tabs>
        <w:ind w:left="1188" w:hanging="720"/>
      </w:pPr>
      <w:rPr>
        <w:rFonts w:ascii="Arial" w:hAnsi="Arial" w:cs="Arial"/>
        <w:color w:val="000000"/>
        <w:sz w:val="24"/>
        <w:szCs w:val="24"/>
      </w:rPr>
    </w:lvl>
    <w:lvl w:ilvl="3">
      <w:start w:val="1"/>
      <w:numFmt w:val="decimal"/>
      <w:lvlText w:val="%1.%2.%3.%4."/>
      <w:lvlJc w:val="left"/>
      <w:pPr>
        <w:tabs>
          <w:tab w:val="num" w:pos="108"/>
        </w:tabs>
        <w:ind w:left="1188" w:hanging="720"/>
      </w:pPr>
      <w:rPr>
        <w:rFonts w:ascii="Arial" w:hAnsi="Arial" w:cs="Arial"/>
        <w:color w:val="000000"/>
        <w:sz w:val="24"/>
        <w:szCs w:val="24"/>
      </w:rPr>
    </w:lvl>
    <w:lvl w:ilvl="4">
      <w:start w:val="1"/>
      <w:numFmt w:val="decimal"/>
      <w:lvlText w:val="%1.%2.%3.%4.%5."/>
      <w:lvlJc w:val="left"/>
      <w:pPr>
        <w:tabs>
          <w:tab w:val="num" w:pos="108"/>
        </w:tabs>
        <w:ind w:left="1548" w:hanging="1080"/>
      </w:pPr>
      <w:rPr>
        <w:rFonts w:ascii="Arial" w:hAnsi="Arial" w:cs="Arial"/>
        <w:color w:val="000000"/>
        <w:sz w:val="24"/>
        <w:szCs w:val="24"/>
      </w:rPr>
    </w:lvl>
    <w:lvl w:ilvl="5">
      <w:start w:val="1"/>
      <w:numFmt w:val="decimal"/>
      <w:lvlText w:val="%1.%2.%3.%4.%5.%6."/>
      <w:lvlJc w:val="left"/>
      <w:pPr>
        <w:tabs>
          <w:tab w:val="num" w:pos="108"/>
        </w:tabs>
        <w:ind w:left="1548" w:hanging="1080"/>
      </w:pPr>
      <w:rPr>
        <w:rFonts w:ascii="Arial" w:hAnsi="Arial" w:cs="Arial"/>
        <w:color w:val="000000"/>
        <w:sz w:val="24"/>
        <w:szCs w:val="24"/>
      </w:rPr>
    </w:lvl>
    <w:lvl w:ilvl="6">
      <w:start w:val="1"/>
      <w:numFmt w:val="decimal"/>
      <w:lvlText w:val="%1.%2.%3.%4.%5.%6.%7."/>
      <w:lvlJc w:val="left"/>
      <w:pPr>
        <w:tabs>
          <w:tab w:val="num" w:pos="108"/>
        </w:tabs>
        <w:ind w:left="1908" w:hanging="1440"/>
      </w:pPr>
      <w:rPr>
        <w:rFonts w:ascii="Arial" w:hAnsi="Arial" w:cs="Arial"/>
        <w:color w:val="000000"/>
        <w:sz w:val="24"/>
        <w:szCs w:val="24"/>
      </w:rPr>
    </w:lvl>
    <w:lvl w:ilvl="7">
      <w:start w:val="1"/>
      <w:numFmt w:val="decimal"/>
      <w:lvlText w:val="%1.%2.%3.%4.%5.%6.%7.%8."/>
      <w:lvlJc w:val="left"/>
      <w:pPr>
        <w:tabs>
          <w:tab w:val="num" w:pos="108"/>
        </w:tabs>
        <w:ind w:left="1908" w:hanging="1440"/>
      </w:pPr>
      <w:rPr>
        <w:rFonts w:ascii="Arial" w:hAnsi="Arial" w:cs="Arial"/>
        <w:color w:val="000000"/>
        <w:sz w:val="24"/>
        <w:szCs w:val="24"/>
      </w:rPr>
    </w:lvl>
    <w:lvl w:ilvl="8">
      <w:start w:val="1"/>
      <w:numFmt w:val="decimal"/>
      <w:lvlText w:val="%1.%2.%3.%4.%5.%6.%7.%8.%9."/>
      <w:lvlJc w:val="left"/>
      <w:pPr>
        <w:tabs>
          <w:tab w:val="num" w:pos="108"/>
        </w:tabs>
        <w:ind w:left="2268" w:hanging="1800"/>
      </w:pPr>
      <w:rPr>
        <w:rFonts w:ascii="Arial" w:hAnsi="Arial" w:cs="Arial"/>
        <w:color w:val="000000"/>
        <w:sz w:val="24"/>
        <w:szCs w:val="24"/>
      </w:rPr>
    </w:lvl>
  </w:abstractNum>
  <w:abstractNum w:abstractNumId="18" w15:restartNumberingAfterBreak="0">
    <w:nsid w:val="44DA22E1"/>
    <w:multiLevelType w:val="hybridMultilevel"/>
    <w:tmpl w:val="2872ED02"/>
    <w:lvl w:ilvl="0" w:tplc="30E4F6A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BEC5E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1E2B1B"/>
    <w:multiLevelType w:val="hybridMultilevel"/>
    <w:tmpl w:val="A7366A28"/>
    <w:lvl w:ilvl="0" w:tplc="55FC2F3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21" w15:restartNumberingAfterBreak="0">
    <w:nsid w:val="51CF48A9"/>
    <w:multiLevelType w:val="hybridMultilevel"/>
    <w:tmpl w:val="94C4C1E4"/>
    <w:lvl w:ilvl="0" w:tplc="0427000F">
      <w:start w:val="1"/>
      <w:numFmt w:val="decimal"/>
      <w:lvlText w:val="%1."/>
      <w:lvlJc w:val="left"/>
      <w:pPr>
        <w:tabs>
          <w:tab w:val="num" w:pos="1500"/>
        </w:tabs>
        <w:ind w:left="1500" w:hanging="360"/>
      </w:p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22" w15:restartNumberingAfterBreak="0">
    <w:nsid w:val="57F46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483D83"/>
    <w:multiLevelType w:val="hybridMultilevel"/>
    <w:tmpl w:val="8E5009EC"/>
    <w:lvl w:ilvl="0" w:tplc="63F88E8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4F4333B"/>
    <w:multiLevelType w:val="multilevel"/>
    <w:tmpl w:val="7FFC656C"/>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8"/>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97A3E57"/>
    <w:multiLevelType w:val="hybridMultilevel"/>
    <w:tmpl w:val="288275F2"/>
    <w:lvl w:ilvl="0" w:tplc="D45C43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D3550B3"/>
    <w:multiLevelType w:val="hybridMultilevel"/>
    <w:tmpl w:val="CDC6B68E"/>
    <w:lvl w:ilvl="0" w:tplc="EA88E3B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7" w15:restartNumberingAfterBreak="0">
    <w:nsid w:val="721B466D"/>
    <w:multiLevelType w:val="hybridMultilevel"/>
    <w:tmpl w:val="7806EBEA"/>
    <w:lvl w:ilvl="0" w:tplc="D7E2738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74373BB6"/>
    <w:multiLevelType w:val="hybridMultilevel"/>
    <w:tmpl w:val="D7102EAE"/>
    <w:lvl w:ilvl="0" w:tplc="653E90FA">
      <w:start w:val="1"/>
      <w:numFmt w:val="decimal"/>
      <w:lvlText w:val="1.%1."/>
      <w:lvlJc w:val="left"/>
      <w:pPr>
        <w:ind w:left="1997" w:hanging="360"/>
      </w:pPr>
      <w:rPr>
        <w:rFonts w:hint="default"/>
      </w:r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7C7B53DE"/>
    <w:multiLevelType w:val="hybridMultilevel"/>
    <w:tmpl w:val="35763D4C"/>
    <w:lvl w:ilvl="0" w:tplc="1BD65CB8">
      <w:start w:val="1"/>
      <w:numFmt w:val="decimal"/>
      <w:lvlText w:val="%1."/>
      <w:lvlJc w:val="left"/>
      <w:pPr>
        <w:tabs>
          <w:tab w:val="num" w:pos="1440"/>
        </w:tabs>
        <w:ind w:left="1440" w:hanging="360"/>
      </w:pPr>
      <w:rPr>
        <w:b w:val="0"/>
        <w:sz w:val="24"/>
        <w:szCs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28"/>
  </w:num>
  <w:num w:numId="2">
    <w:abstractNumId w:val="3"/>
  </w:num>
  <w:num w:numId="3">
    <w:abstractNumId w:val="7"/>
  </w:num>
  <w:num w:numId="4">
    <w:abstractNumId w:val="6"/>
  </w:num>
  <w:num w:numId="5">
    <w:abstractNumId w:val="25"/>
  </w:num>
  <w:num w:numId="6">
    <w:abstractNumId w:val="21"/>
  </w:num>
  <w:num w:numId="7">
    <w:abstractNumId w:val="12"/>
  </w:num>
  <w:num w:numId="8">
    <w:abstractNumId w:val="29"/>
  </w:num>
  <w:num w:numId="9">
    <w:abstractNumId w:val="17"/>
  </w:num>
  <w:num w:numId="10">
    <w:abstractNumId w:val="27"/>
  </w:num>
  <w:num w:numId="11">
    <w:abstractNumId w:val="16"/>
  </w:num>
  <w:num w:numId="12">
    <w:abstractNumId w:val="20"/>
  </w:num>
  <w:num w:numId="13">
    <w:abstractNumId w:val="2"/>
  </w:num>
  <w:num w:numId="14">
    <w:abstractNumId w:val="26"/>
  </w:num>
  <w:num w:numId="15">
    <w:abstractNumId w:val="24"/>
  </w:num>
  <w:num w:numId="16">
    <w:abstractNumId w:val="14"/>
  </w:num>
  <w:num w:numId="17">
    <w:abstractNumId w:val="13"/>
  </w:num>
  <w:num w:numId="18">
    <w:abstractNumId w:val="24"/>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1"/>
  </w:num>
  <w:num w:numId="21">
    <w:abstractNumId w:val="4"/>
  </w:num>
  <w:num w:numId="22">
    <w:abstractNumId w:val="0"/>
  </w:num>
  <w:num w:numId="23">
    <w:abstractNumId w:val="8"/>
  </w:num>
  <w:num w:numId="24">
    <w:abstractNumId w:val="10"/>
  </w:num>
  <w:num w:numId="25">
    <w:abstractNumId w:val="1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1"/>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1D"/>
    <w:rsid w:val="000124B7"/>
    <w:rsid w:val="00013E2C"/>
    <w:rsid w:val="00017E01"/>
    <w:rsid w:val="0002040C"/>
    <w:rsid w:val="00031F88"/>
    <w:rsid w:val="000375F1"/>
    <w:rsid w:val="00064E8E"/>
    <w:rsid w:val="000734F8"/>
    <w:rsid w:val="00086FD9"/>
    <w:rsid w:val="00094EBD"/>
    <w:rsid w:val="00095117"/>
    <w:rsid w:val="00097FD1"/>
    <w:rsid w:val="000A2F92"/>
    <w:rsid w:val="000A77BA"/>
    <w:rsid w:val="000B29AA"/>
    <w:rsid w:val="000D0DA9"/>
    <w:rsid w:val="000D5BC9"/>
    <w:rsid w:val="000E23C4"/>
    <w:rsid w:val="000E2CB4"/>
    <w:rsid w:val="001029E1"/>
    <w:rsid w:val="00103880"/>
    <w:rsid w:val="00105C7A"/>
    <w:rsid w:val="00111DEA"/>
    <w:rsid w:val="00117E79"/>
    <w:rsid w:val="0013112C"/>
    <w:rsid w:val="001416E1"/>
    <w:rsid w:val="001451E4"/>
    <w:rsid w:val="00173E10"/>
    <w:rsid w:val="0017649E"/>
    <w:rsid w:val="00176EE4"/>
    <w:rsid w:val="00193F1B"/>
    <w:rsid w:val="00195F28"/>
    <w:rsid w:val="00196B4B"/>
    <w:rsid w:val="001A101A"/>
    <w:rsid w:val="001A6258"/>
    <w:rsid w:val="001A6BFB"/>
    <w:rsid w:val="001A7D93"/>
    <w:rsid w:val="001B6C48"/>
    <w:rsid w:val="001E27A9"/>
    <w:rsid w:val="001E5231"/>
    <w:rsid w:val="001F2856"/>
    <w:rsid w:val="00202FE5"/>
    <w:rsid w:val="0020493D"/>
    <w:rsid w:val="00213BF4"/>
    <w:rsid w:val="00217DEC"/>
    <w:rsid w:val="00225418"/>
    <w:rsid w:val="00232D47"/>
    <w:rsid w:val="00233949"/>
    <w:rsid w:val="00247842"/>
    <w:rsid w:val="00265B1C"/>
    <w:rsid w:val="00266233"/>
    <w:rsid w:val="002708E0"/>
    <w:rsid w:val="00277327"/>
    <w:rsid w:val="002910F4"/>
    <w:rsid w:val="00292D02"/>
    <w:rsid w:val="00294FEA"/>
    <w:rsid w:val="002A3416"/>
    <w:rsid w:val="002A3DD1"/>
    <w:rsid w:val="002A7C55"/>
    <w:rsid w:val="002C44C7"/>
    <w:rsid w:val="002C5FDB"/>
    <w:rsid w:val="002D5FB3"/>
    <w:rsid w:val="002D71BD"/>
    <w:rsid w:val="002E51D0"/>
    <w:rsid w:val="002E677B"/>
    <w:rsid w:val="002F3D55"/>
    <w:rsid w:val="0030362A"/>
    <w:rsid w:val="003060B5"/>
    <w:rsid w:val="003060D9"/>
    <w:rsid w:val="00313EAB"/>
    <w:rsid w:val="003150CD"/>
    <w:rsid w:val="00315F9B"/>
    <w:rsid w:val="003167AC"/>
    <w:rsid w:val="00327EA2"/>
    <w:rsid w:val="003339E2"/>
    <w:rsid w:val="00340ECE"/>
    <w:rsid w:val="003513DC"/>
    <w:rsid w:val="00354D3B"/>
    <w:rsid w:val="003622E3"/>
    <w:rsid w:val="00371258"/>
    <w:rsid w:val="00372FA5"/>
    <w:rsid w:val="00392210"/>
    <w:rsid w:val="003A73CF"/>
    <w:rsid w:val="003C1D77"/>
    <w:rsid w:val="003C249F"/>
    <w:rsid w:val="003C5188"/>
    <w:rsid w:val="003D1EA5"/>
    <w:rsid w:val="003D6395"/>
    <w:rsid w:val="003E3872"/>
    <w:rsid w:val="003E3E62"/>
    <w:rsid w:val="00401189"/>
    <w:rsid w:val="00401AEA"/>
    <w:rsid w:val="00402DD8"/>
    <w:rsid w:val="004111EE"/>
    <w:rsid w:val="004112B8"/>
    <w:rsid w:val="00420C46"/>
    <w:rsid w:val="004225AC"/>
    <w:rsid w:val="0042740D"/>
    <w:rsid w:val="00435B77"/>
    <w:rsid w:val="0044148A"/>
    <w:rsid w:val="00447170"/>
    <w:rsid w:val="00447CA1"/>
    <w:rsid w:val="004506EB"/>
    <w:rsid w:val="00451309"/>
    <w:rsid w:val="00452778"/>
    <w:rsid w:val="0045408D"/>
    <w:rsid w:val="00457D06"/>
    <w:rsid w:val="00472152"/>
    <w:rsid w:val="004810AA"/>
    <w:rsid w:val="00481B5B"/>
    <w:rsid w:val="00487039"/>
    <w:rsid w:val="00494446"/>
    <w:rsid w:val="00495469"/>
    <w:rsid w:val="00495D7B"/>
    <w:rsid w:val="00495FC1"/>
    <w:rsid w:val="00496CD9"/>
    <w:rsid w:val="00497476"/>
    <w:rsid w:val="004A1361"/>
    <w:rsid w:val="004A48C1"/>
    <w:rsid w:val="004A4E2D"/>
    <w:rsid w:val="004A6D1F"/>
    <w:rsid w:val="004B698A"/>
    <w:rsid w:val="004B7B4B"/>
    <w:rsid w:val="004B7DE6"/>
    <w:rsid w:val="004C04FC"/>
    <w:rsid w:val="004C53EA"/>
    <w:rsid w:val="004D0BA1"/>
    <w:rsid w:val="004D424D"/>
    <w:rsid w:val="004E3CD8"/>
    <w:rsid w:val="004E581F"/>
    <w:rsid w:val="004F78D1"/>
    <w:rsid w:val="005040BB"/>
    <w:rsid w:val="00510BCC"/>
    <w:rsid w:val="005140BC"/>
    <w:rsid w:val="005155C1"/>
    <w:rsid w:val="005233BC"/>
    <w:rsid w:val="00534DC7"/>
    <w:rsid w:val="00550E2B"/>
    <w:rsid w:val="005546B4"/>
    <w:rsid w:val="00557223"/>
    <w:rsid w:val="00557A8C"/>
    <w:rsid w:val="00570638"/>
    <w:rsid w:val="00570FFC"/>
    <w:rsid w:val="00576B6A"/>
    <w:rsid w:val="00577BBD"/>
    <w:rsid w:val="00582F63"/>
    <w:rsid w:val="00583F6E"/>
    <w:rsid w:val="0058547A"/>
    <w:rsid w:val="00590AB5"/>
    <w:rsid w:val="00591507"/>
    <w:rsid w:val="00592D7B"/>
    <w:rsid w:val="0059380A"/>
    <w:rsid w:val="00593881"/>
    <w:rsid w:val="0059627E"/>
    <w:rsid w:val="005966D1"/>
    <w:rsid w:val="005B0F6D"/>
    <w:rsid w:val="005B1DA6"/>
    <w:rsid w:val="005B5805"/>
    <w:rsid w:val="005B7649"/>
    <w:rsid w:val="005C092E"/>
    <w:rsid w:val="005C53A7"/>
    <w:rsid w:val="005C5CAB"/>
    <w:rsid w:val="005D194F"/>
    <w:rsid w:val="005D543F"/>
    <w:rsid w:val="005E60E1"/>
    <w:rsid w:val="005F6FF4"/>
    <w:rsid w:val="006238FD"/>
    <w:rsid w:val="00632B0F"/>
    <w:rsid w:val="00632BF4"/>
    <w:rsid w:val="00641F85"/>
    <w:rsid w:val="00642ACF"/>
    <w:rsid w:val="006464D0"/>
    <w:rsid w:val="00651DB5"/>
    <w:rsid w:val="00665D9B"/>
    <w:rsid w:val="00667C44"/>
    <w:rsid w:val="00684634"/>
    <w:rsid w:val="00687FC5"/>
    <w:rsid w:val="006922E5"/>
    <w:rsid w:val="0069446E"/>
    <w:rsid w:val="006959EF"/>
    <w:rsid w:val="006A46CB"/>
    <w:rsid w:val="006A54AD"/>
    <w:rsid w:val="006A64C7"/>
    <w:rsid w:val="006A7ECE"/>
    <w:rsid w:val="006B2B58"/>
    <w:rsid w:val="006B3B41"/>
    <w:rsid w:val="006B50ED"/>
    <w:rsid w:val="006B56B4"/>
    <w:rsid w:val="006B6757"/>
    <w:rsid w:val="006C15D7"/>
    <w:rsid w:val="006C4CC3"/>
    <w:rsid w:val="006E2712"/>
    <w:rsid w:val="006F200B"/>
    <w:rsid w:val="006F3924"/>
    <w:rsid w:val="006F59DA"/>
    <w:rsid w:val="00700543"/>
    <w:rsid w:val="00705D9E"/>
    <w:rsid w:val="00716D7D"/>
    <w:rsid w:val="00730DCC"/>
    <w:rsid w:val="007377E6"/>
    <w:rsid w:val="00744266"/>
    <w:rsid w:val="00750CEB"/>
    <w:rsid w:val="0075672C"/>
    <w:rsid w:val="007603A4"/>
    <w:rsid w:val="00764211"/>
    <w:rsid w:val="007659B1"/>
    <w:rsid w:val="00765A32"/>
    <w:rsid w:val="00766A53"/>
    <w:rsid w:val="00770F69"/>
    <w:rsid w:val="00772B8C"/>
    <w:rsid w:val="007816DB"/>
    <w:rsid w:val="00784600"/>
    <w:rsid w:val="007A1B4C"/>
    <w:rsid w:val="007B11CA"/>
    <w:rsid w:val="007C1109"/>
    <w:rsid w:val="007C6C01"/>
    <w:rsid w:val="007C7916"/>
    <w:rsid w:val="007D2EEB"/>
    <w:rsid w:val="007D48FA"/>
    <w:rsid w:val="007E08BF"/>
    <w:rsid w:val="007E0CBE"/>
    <w:rsid w:val="007F6181"/>
    <w:rsid w:val="007F6E3C"/>
    <w:rsid w:val="007F7195"/>
    <w:rsid w:val="00801EAC"/>
    <w:rsid w:val="00802AB5"/>
    <w:rsid w:val="008075CF"/>
    <w:rsid w:val="00817829"/>
    <w:rsid w:val="00822CBE"/>
    <w:rsid w:val="00824E63"/>
    <w:rsid w:val="00827A46"/>
    <w:rsid w:val="008509B7"/>
    <w:rsid w:val="00854063"/>
    <w:rsid w:val="00855CA1"/>
    <w:rsid w:val="008564D1"/>
    <w:rsid w:val="0085682A"/>
    <w:rsid w:val="00864658"/>
    <w:rsid w:val="0086490E"/>
    <w:rsid w:val="00870F72"/>
    <w:rsid w:val="00883124"/>
    <w:rsid w:val="00885587"/>
    <w:rsid w:val="0089468B"/>
    <w:rsid w:val="008954DF"/>
    <w:rsid w:val="00895DF4"/>
    <w:rsid w:val="008A1A94"/>
    <w:rsid w:val="008A2A66"/>
    <w:rsid w:val="008A7506"/>
    <w:rsid w:val="008B4279"/>
    <w:rsid w:val="008C13D5"/>
    <w:rsid w:val="008C6DA5"/>
    <w:rsid w:val="008D54D1"/>
    <w:rsid w:val="008D7A28"/>
    <w:rsid w:val="008E3066"/>
    <w:rsid w:val="008E5362"/>
    <w:rsid w:val="008F1794"/>
    <w:rsid w:val="008F3223"/>
    <w:rsid w:val="008F4D52"/>
    <w:rsid w:val="00921D87"/>
    <w:rsid w:val="00926E08"/>
    <w:rsid w:val="00933965"/>
    <w:rsid w:val="009435B0"/>
    <w:rsid w:val="009455D0"/>
    <w:rsid w:val="009471DB"/>
    <w:rsid w:val="00950339"/>
    <w:rsid w:val="009511F7"/>
    <w:rsid w:val="0095185B"/>
    <w:rsid w:val="009618F5"/>
    <w:rsid w:val="009677AB"/>
    <w:rsid w:val="00973AE8"/>
    <w:rsid w:val="00980D31"/>
    <w:rsid w:val="0098334B"/>
    <w:rsid w:val="00984EE7"/>
    <w:rsid w:val="00986CE9"/>
    <w:rsid w:val="00987657"/>
    <w:rsid w:val="00987B45"/>
    <w:rsid w:val="00995216"/>
    <w:rsid w:val="009971D3"/>
    <w:rsid w:val="009B3260"/>
    <w:rsid w:val="009B34E9"/>
    <w:rsid w:val="009C32EF"/>
    <w:rsid w:val="009C4644"/>
    <w:rsid w:val="009C4A15"/>
    <w:rsid w:val="009D58D4"/>
    <w:rsid w:val="009E1E61"/>
    <w:rsid w:val="009F0C3B"/>
    <w:rsid w:val="009F0DAE"/>
    <w:rsid w:val="009F58F0"/>
    <w:rsid w:val="00A10483"/>
    <w:rsid w:val="00A260DC"/>
    <w:rsid w:val="00A33F9C"/>
    <w:rsid w:val="00A44C11"/>
    <w:rsid w:val="00A47E66"/>
    <w:rsid w:val="00A62D28"/>
    <w:rsid w:val="00A6473E"/>
    <w:rsid w:val="00A66168"/>
    <w:rsid w:val="00A6725D"/>
    <w:rsid w:val="00A67622"/>
    <w:rsid w:val="00A70F83"/>
    <w:rsid w:val="00A77FA3"/>
    <w:rsid w:val="00A84B5C"/>
    <w:rsid w:val="00A91903"/>
    <w:rsid w:val="00AA2D6A"/>
    <w:rsid w:val="00AA5ACA"/>
    <w:rsid w:val="00AB06B8"/>
    <w:rsid w:val="00AB3524"/>
    <w:rsid w:val="00AB5848"/>
    <w:rsid w:val="00AC521B"/>
    <w:rsid w:val="00AD5DDD"/>
    <w:rsid w:val="00AE164B"/>
    <w:rsid w:val="00AE1DFB"/>
    <w:rsid w:val="00AF254C"/>
    <w:rsid w:val="00AF7997"/>
    <w:rsid w:val="00B07C33"/>
    <w:rsid w:val="00B153F6"/>
    <w:rsid w:val="00B204F1"/>
    <w:rsid w:val="00B2174F"/>
    <w:rsid w:val="00B25C26"/>
    <w:rsid w:val="00B33BC7"/>
    <w:rsid w:val="00B45D9D"/>
    <w:rsid w:val="00B47A2D"/>
    <w:rsid w:val="00B50A52"/>
    <w:rsid w:val="00B50FC5"/>
    <w:rsid w:val="00B61F8E"/>
    <w:rsid w:val="00B64780"/>
    <w:rsid w:val="00B64C06"/>
    <w:rsid w:val="00B65AC8"/>
    <w:rsid w:val="00B70399"/>
    <w:rsid w:val="00B71B5F"/>
    <w:rsid w:val="00B82771"/>
    <w:rsid w:val="00B839EA"/>
    <w:rsid w:val="00B84D92"/>
    <w:rsid w:val="00B92659"/>
    <w:rsid w:val="00B96DA6"/>
    <w:rsid w:val="00BA4A4F"/>
    <w:rsid w:val="00BB186A"/>
    <w:rsid w:val="00BC51DE"/>
    <w:rsid w:val="00BD4B7C"/>
    <w:rsid w:val="00BD70A6"/>
    <w:rsid w:val="00BE0132"/>
    <w:rsid w:val="00BE0D2B"/>
    <w:rsid w:val="00C02749"/>
    <w:rsid w:val="00C06399"/>
    <w:rsid w:val="00C11A71"/>
    <w:rsid w:val="00C145E5"/>
    <w:rsid w:val="00C2075F"/>
    <w:rsid w:val="00C20B41"/>
    <w:rsid w:val="00C217B2"/>
    <w:rsid w:val="00C32B83"/>
    <w:rsid w:val="00C42342"/>
    <w:rsid w:val="00C4386A"/>
    <w:rsid w:val="00C4767E"/>
    <w:rsid w:val="00C57667"/>
    <w:rsid w:val="00C57D1F"/>
    <w:rsid w:val="00C60171"/>
    <w:rsid w:val="00C60F1D"/>
    <w:rsid w:val="00C61DC1"/>
    <w:rsid w:val="00C70EAA"/>
    <w:rsid w:val="00C846E2"/>
    <w:rsid w:val="00C8521D"/>
    <w:rsid w:val="00CA2467"/>
    <w:rsid w:val="00CA29CC"/>
    <w:rsid w:val="00CA565F"/>
    <w:rsid w:val="00CB124E"/>
    <w:rsid w:val="00CB2392"/>
    <w:rsid w:val="00CB512C"/>
    <w:rsid w:val="00CD3484"/>
    <w:rsid w:val="00CE1443"/>
    <w:rsid w:val="00CE6DBD"/>
    <w:rsid w:val="00CF186C"/>
    <w:rsid w:val="00CF3DC0"/>
    <w:rsid w:val="00CF754A"/>
    <w:rsid w:val="00D00D4C"/>
    <w:rsid w:val="00D03113"/>
    <w:rsid w:val="00D0477B"/>
    <w:rsid w:val="00D06DAE"/>
    <w:rsid w:val="00D23986"/>
    <w:rsid w:val="00D31518"/>
    <w:rsid w:val="00D33189"/>
    <w:rsid w:val="00D37947"/>
    <w:rsid w:val="00D44B2F"/>
    <w:rsid w:val="00D612CD"/>
    <w:rsid w:val="00D66A06"/>
    <w:rsid w:val="00D76022"/>
    <w:rsid w:val="00D82F0B"/>
    <w:rsid w:val="00D837E5"/>
    <w:rsid w:val="00D93D27"/>
    <w:rsid w:val="00D957E5"/>
    <w:rsid w:val="00DA36BC"/>
    <w:rsid w:val="00DA56C1"/>
    <w:rsid w:val="00DA6AFC"/>
    <w:rsid w:val="00DB0C97"/>
    <w:rsid w:val="00DD15AB"/>
    <w:rsid w:val="00DD2A7C"/>
    <w:rsid w:val="00DD4F35"/>
    <w:rsid w:val="00DE1755"/>
    <w:rsid w:val="00DE38F8"/>
    <w:rsid w:val="00DF0C1A"/>
    <w:rsid w:val="00DF322F"/>
    <w:rsid w:val="00DF5A73"/>
    <w:rsid w:val="00DF5ABC"/>
    <w:rsid w:val="00DF7DCA"/>
    <w:rsid w:val="00E00ADE"/>
    <w:rsid w:val="00E146ED"/>
    <w:rsid w:val="00E15638"/>
    <w:rsid w:val="00E20168"/>
    <w:rsid w:val="00E22F29"/>
    <w:rsid w:val="00E24DD3"/>
    <w:rsid w:val="00E30406"/>
    <w:rsid w:val="00E33298"/>
    <w:rsid w:val="00E52368"/>
    <w:rsid w:val="00E55A72"/>
    <w:rsid w:val="00E5603D"/>
    <w:rsid w:val="00E670CC"/>
    <w:rsid w:val="00E67139"/>
    <w:rsid w:val="00E74031"/>
    <w:rsid w:val="00E77547"/>
    <w:rsid w:val="00E779C7"/>
    <w:rsid w:val="00E81134"/>
    <w:rsid w:val="00E924ED"/>
    <w:rsid w:val="00E93542"/>
    <w:rsid w:val="00EA2368"/>
    <w:rsid w:val="00EA3110"/>
    <w:rsid w:val="00ED19E0"/>
    <w:rsid w:val="00ED39F6"/>
    <w:rsid w:val="00ED4D03"/>
    <w:rsid w:val="00EE1FFE"/>
    <w:rsid w:val="00EE3561"/>
    <w:rsid w:val="00EE6583"/>
    <w:rsid w:val="00EE6A99"/>
    <w:rsid w:val="00EF3F48"/>
    <w:rsid w:val="00EF6947"/>
    <w:rsid w:val="00F1061A"/>
    <w:rsid w:val="00F13F15"/>
    <w:rsid w:val="00F17715"/>
    <w:rsid w:val="00F30B87"/>
    <w:rsid w:val="00F30E12"/>
    <w:rsid w:val="00F31836"/>
    <w:rsid w:val="00F34623"/>
    <w:rsid w:val="00F40605"/>
    <w:rsid w:val="00F43B16"/>
    <w:rsid w:val="00F607D5"/>
    <w:rsid w:val="00F60F50"/>
    <w:rsid w:val="00F645F5"/>
    <w:rsid w:val="00F658B9"/>
    <w:rsid w:val="00F6615A"/>
    <w:rsid w:val="00F67A84"/>
    <w:rsid w:val="00F74536"/>
    <w:rsid w:val="00F829F8"/>
    <w:rsid w:val="00F85B04"/>
    <w:rsid w:val="00F97A1A"/>
    <w:rsid w:val="00F97F7B"/>
    <w:rsid w:val="00FA3295"/>
    <w:rsid w:val="00FA6C89"/>
    <w:rsid w:val="00FB1ED4"/>
    <w:rsid w:val="00FB3495"/>
    <w:rsid w:val="00FB3D73"/>
    <w:rsid w:val="00FC17C4"/>
    <w:rsid w:val="00FC6E03"/>
    <w:rsid w:val="00FD2CC8"/>
    <w:rsid w:val="00FD77D0"/>
    <w:rsid w:val="00FE7BAE"/>
    <w:rsid w:val="00FF08F9"/>
    <w:rsid w:val="00FF0D98"/>
    <w:rsid w:val="00FF6996"/>
    <w:rsid w:val="00FF7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AD4EA4-876C-4206-9593-80513977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22F"/>
  </w:style>
  <w:style w:type="paragraph" w:styleId="Antrat2">
    <w:name w:val="heading 2"/>
    <w:basedOn w:val="prastasis"/>
    <w:next w:val="prastasis"/>
    <w:link w:val="Antrat2Diagrama"/>
    <w:qFormat/>
    <w:rsid w:val="00F13F15"/>
    <w:pPr>
      <w:keepNext/>
      <w:ind w:firstLine="720"/>
      <w:jc w:val="center"/>
      <w:outlineLvl w:val="1"/>
    </w:pPr>
    <w:rPr>
      <w:b/>
      <w:noProof/>
      <w:sz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13F15"/>
    <w:rPr>
      <w:b/>
      <w:noProof/>
      <w:sz w:val="27"/>
    </w:rPr>
  </w:style>
  <w:style w:type="character" w:styleId="Vietosrezervavimoenklotekstas">
    <w:name w:val="Placeholder Text"/>
    <w:basedOn w:val="Numatytasispastraiposriftas"/>
    <w:rsid w:val="00B45D9D"/>
    <w:rPr>
      <w:color w:val="808080"/>
    </w:rPr>
  </w:style>
  <w:style w:type="paragraph" w:styleId="Antrats">
    <w:name w:val="header"/>
    <w:aliases w:val="Char,Diagrama"/>
    <w:basedOn w:val="prastasis"/>
    <w:link w:val="AntratsDiagrama"/>
    <w:unhideWhenUsed/>
    <w:rsid w:val="00B45D9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B45D9D"/>
  </w:style>
  <w:style w:type="paragraph" w:styleId="Porat">
    <w:name w:val="footer"/>
    <w:basedOn w:val="prastasis"/>
    <w:link w:val="PoratDiagrama"/>
    <w:uiPriority w:val="99"/>
    <w:unhideWhenUsed/>
    <w:rsid w:val="00B45D9D"/>
    <w:pPr>
      <w:tabs>
        <w:tab w:val="center" w:pos="4819"/>
        <w:tab w:val="right" w:pos="9638"/>
      </w:tabs>
    </w:pPr>
  </w:style>
  <w:style w:type="character" w:customStyle="1" w:styleId="PoratDiagrama">
    <w:name w:val="Poraštė Diagrama"/>
    <w:basedOn w:val="Numatytasispastraiposriftas"/>
    <w:link w:val="Porat"/>
    <w:uiPriority w:val="99"/>
    <w:rsid w:val="00B45D9D"/>
  </w:style>
  <w:style w:type="paragraph" w:styleId="Sraopastraipa">
    <w:name w:val="List Paragraph"/>
    <w:basedOn w:val="prastasis"/>
    <w:uiPriority w:val="34"/>
    <w:qFormat/>
    <w:rsid w:val="00D03113"/>
    <w:pPr>
      <w:ind w:left="720"/>
      <w:contextualSpacing/>
    </w:pPr>
  </w:style>
  <w:style w:type="character" w:styleId="Komentaronuoroda">
    <w:name w:val="annotation reference"/>
    <w:basedOn w:val="Numatytasispastraiposriftas"/>
    <w:semiHidden/>
    <w:unhideWhenUsed/>
    <w:rsid w:val="00A62D28"/>
    <w:rPr>
      <w:sz w:val="16"/>
      <w:szCs w:val="16"/>
    </w:rPr>
  </w:style>
  <w:style w:type="paragraph" w:styleId="Komentarotekstas">
    <w:name w:val="annotation text"/>
    <w:basedOn w:val="prastasis"/>
    <w:link w:val="KomentarotekstasDiagrama"/>
    <w:unhideWhenUsed/>
    <w:rsid w:val="00A62D28"/>
    <w:rPr>
      <w:sz w:val="20"/>
    </w:rPr>
  </w:style>
  <w:style w:type="character" w:customStyle="1" w:styleId="KomentarotekstasDiagrama">
    <w:name w:val="Komentaro tekstas Diagrama"/>
    <w:basedOn w:val="Numatytasispastraiposriftas"/>
    <w:link w:val="Komentarotekstas"/>
    <w:rsid w:val="00A62D28"/>
    <w:rPr>
      <w:sz w:val="20"/>
    </w:rPr>
  </w:style>
  <w:style w:type="paragraph" w:styleId="Komentarotema">
    <w:name w:val="annotation subject"/>
    <w:basedOn w:val="Komentarotekstas"/>
    <w:next w:val="Komentarotekstas"/>
    <w:link w:val="KomentarotemaDiagrama"/>
    <w:semiHidden/>
    <w:unhideWhenUsed/>
    <w:rsid w:val="00A62D28"/>
    <w:rPr>
      <w:b/>
      <w:bCs/>
    </w:rPr>
  </w:style>
  <w:style w:type="character" w:customStyle="1" w:styleId="KomentarotemaDiagrama">
    <w:name w:val="Komentaro tema Diagrama"/>
    <w:basedOn w:val="KomentarotekstasDiagrama"/>
    <w:link w:val="Komentarotema"/>
    <w:semiHidden/>
    <w:rsid w:val="00A62D28"/>
    <w:rPr>
      <w:b/>
      <w:bCs/>
      <w:sz w:val="20"/>
    </w:rPr>
  </w:style>
  <w:style w:type="paragraph" w:styleId="Debesliotekstas">
    <w:name w:val="Balloon Text"/>
    <w:basedOn w:val="prastasis"/>
    <w:link w:val="DebesliotekstasDiagrama"/>
    <w:semiHidden/>
    <w:unhideWhenUsed/>
    <w:rsid w:val="00A62D2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62D28"/>
    <w:rPr>
      <w:rFonts w:ascii="Segoe UI" w:hAnsi="Segoe UI" w:cs="Segoe UI"/>
      <w:sz w:val="18"/>
      <w:szCs w:val="18"/>
    </w:rPr>
  </w:style>
  <w:style w:type="table" w:styleId="Lentelstinklelis">
    <w:name w:val="Table Grid"/>
    <w:basedOn w:val="prastojilentel"/>
    <w:rsid w:val="008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
    <w:name w:val="Diagrama Diagrama1"/>
    <w:basedOn w:val="prastasis"/>
    <w:rsid w:val="00F13F15"/>
    <w:pPr>
      <w:spacing w:after="160" w:line="240" w:lineRule="exact"/>
    </w:pPr>
    <w:rPr>
      <w:rFonts w:ascii="Tahoma" w:hAnsi="Tahoma" w:cs="Tahoma"/>
      <w:sz w:val="20"/>
      <w:lang w:val="en-US"/>
    </w:rPr>
  </w:style>
  <w:style w:type="character" w:styleId="Rykuspabraukimas">
    <w:name w:val="Intense Emphasis"/>
    <w:basedOn w:val="Numatytasispastraiposriftas"/>
    <w:uiPriority w:val="21"/>
    <w:qFormat/>
    <w:rsid w:val="00F13F15"/>
    <w:rPr>
      <w:i/>
      <w:iCs/>
      <w:color w:val="4F81BD" w:themeColor="accent1"/>
    </w:rPr>
  </w:style>
  <w:style w:type="character" w:styleId="Hipersaitas">
    <w:name w:val="Hyperlink"/>
    <w:basedOn w:val="Numatytasispastraiposriftas"/>
    <w:uiPriority w:val="99"/>
    <w:semiHidden/>
    <w:unhideWhenUsed/>
    <w:rsid w:val="00F13F15"/>
    <w:rPr>
      <w:color w:val="0563C1"/>
      <w:u w:val="single"/>
    </w:rPr>
  </w:style>
  <w:style w:type="paragraph" w:customStyle="1" w:styleId="font5">
    <w:name w:val="font5"/>
    <w:basedOn w:val="prastasis"/>
    <w:rsid w:val="00F13F15"/>
    <w:pPr>
      <w:spacing w:before="100" w:beforeAutospacing="1" w:after="100" w:afterAutospacing="1"/>
    </w:pPr>
    <w:rPr>
      <w:b/>
      <w:bCs/>
      <w:color w:val="000000"/>
      <w:sz w:val="18"/>
      <w:szCs w:val="18"/>
      <w:lang w:eastAsia="lt-LT"/>
    </w:rPr>
  </w:style>
  <w:style w:type="paragraph" w:customStyle="1" w:styleId="font6">
    <w:name w:val="font6"/>
    <w:basedOn w:val="prastasis"/>
    <w:rsid w:val="00F13F15"/>
    <w:pPr>
      <w:spacing w:before="100" w:beforeAutospacing="1" w:after="100" w:afterAutospacing="1"/>
    </w:pPr>
    <w:rPr>
      <w:b/>
      <w:bCs/>
      <w:i/>
      <w:iCs/>
      <w:color w:val="000000"/>
      <w:sz w:val="18"/>
      <w:szCs w:val="18"/>
      <w:lang w:eastAsia="lt-LT"/>
    </w:rPr>
  </w:style>
  <w:style w:type="paragraph" w:customStyle="1" w:styleId="font7">
    <w:name w:val="font7"/>
    <w:basedOn w:val="prastasis"/>
    <w:rsid w:val="00F13F15"/>
    <w:pPr>
      <w:spacing w:before="100" w:beforeAutospacing="1" w:after="100" w:afterAutospacing="1"/>
    </w:pPr>
    <w:rPr>
      <w:color w:val="000000"/>
      <w:sz w:val="18"/>
      <w:szCs w:val="18"/>
      <w:lang w:eastAsia="lt-LT"/>
    </w:rPr>
  </w:style>
  <w:style w:type="paragraph" w:customStyle="1" w:styleId="font8">
    <w:name w:val="font8"/>
    <w:basedOn w:val="prastasis"/>
    <w:rsid w:val="00F13F15"/>
    <w:pPr>
      <w:spacing w:before="100" w:beforeAutospacing="1" w:after="100" w:afterAutospacing="1"/>
    </w:pPr>
    <w:rPr>
      <w:color w:val="000000"/>
      <w:sz w:val="22"/>
      <w:szCs w:val="22"/>
      <w:lang w:eastAsia="lt-LT"/>
    </w:rPr>
  </w:style>
  <w:style w:type="paragraph" w:customStyle="1" w:styleId="font9">
    <w:name w:val="font9"/>
    <w:basedOn w:val="prastasis"/>
    <w:rsid w:val="00F13F15"/>
    <w:pPr>
      <w:spacing w:before="100" w:beforeAutospacing="1" w:after="100" w:afterAutospacing="1"/>
    </w:pPr>
    <w:rPr>
      <w:b/>
      <w:bCs/>
      <w:color w:val="000000"/>
      <w:sz w:val="22"/>
      <w:szCs w:val="22"/>
      <w:lang w:eastAsia="lt-LT"/>
    </w:rPr>
  </w:style>
  <w:style w:type="paragraph" w:customStyle="1" w:styleId="font10">
    <w:name w:val="font10"/>
    <w:basedOn w:val="prastasis"/>
    <w:rsid w:val="00F13F15"/>
    <w:pPr>
      <w:spacing w:before="100" w:beforeAutospacing="1" w:after="100" w:afterAutospacing="1"/>
    </w:pPr>
    <w:rPr>
      <w:color w:val="000000"/>
      <w:sz w:val="14"/>
      <w:szCs w:val="14"/>
      <w:lang w:eastAsia="lt-LT"/>
    </w:rPr>
  </w:style>
  <w:style w:type="paragraph" w:customStyle="1" w:styleId="xl64">
    <w:name w:val="xl64"/>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lt-LT"/>
    </w:rPr>
  </w:style>
  <w:style w:type="paragraph" w:customStyle="1" w:styleId="xl65">
    <w:name w:val="xl65"/>
    <w:basedOn w:val="prastasis"/>
    <w:rsid w:val="00F13F15"/>
    <w:pPr>
      <w:spacing w:before="100" w:beforeAutospacing="1" w:after="100" w:afterAutospacing="1"/>
    </w:pPr>
    <w:rPr>
      <w:szCs w:val="24"/>
      <w:lang w:eastAsia="lt-LT"/>
    </w:rPr>
  </w:style>
  <w:style w:type="paragraph" w:customStyle="1" w:styleId="xl66">
    <w:name w:val="xl66"/>
    <w:basedOn w:val="prastasis"/>
    <w:rsid w:val="00F13F1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8"/>
      <w:szCs w:val="18"/>
      <w:lang w:eastAsia="lt-LT"/>
    </w:rPr>
  </w:style>
  <w:style w:type="paragraph" w:customStyle="1" w:styleId="xl67">
    <w:name w:val="xl67"/>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u w:val="single"/>
      <w:lang w:eastAsia="lt-LT"/>
    </w:rPr>
  </w:style>
  <w:style w:type="paragraph" w:customStyle="1" w:styleId="xl68">
    <w:name w:val="xl68"/>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u w:val="single"/>
      <w:lang w:eastAsia="lt-LT"/>
    </w:rPr>
  </w:style>
  <w:style w:type="paragraph" w:customStyle="1" w:styleId="xl69">
    <w:name w:val="xl69"/>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u w:val="single"/>
      <w:lang w:eastAsia="lt-LT"/>
    </w:rPr>
  </w:style>
  <w:style w:type="paragraph" w:customStyle="1" w:styleId="xl70">
    <w:name w:val="xl70"/>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71">
    <w:name w:val="xl71"/>
    <w:basedOn w:val="prastasis"/>
    <w:rsid w:val="00F13F1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lt-LT"/>
    </w:rPr>
  </w:style>
  <w:style w:type="paragraph" w:customStyle="1" w:styleId="xl73">
    <w:name w:val="xl73"/>
    <w:basedOn w:val="prastasis"/>
    <w:rsid w:val="00F13F1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i/>
      <w:iCs/>
      <w:color w:val="000000"/>
      <w:sz w:val="18"/>
      <w:szCs w:val="18"/>
      <w:lang w:eastAsia="lt-LT"/>
    </w:rPr>
  </w:style>
  <w:style w:type="paragraph" w:customStyle="1" w:styleId="xl74">
    <w:name w:val="xl74"/>
    <w:basedOn w:val="prastasis"/>
    <w:rsid w:val="00F13F1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color w:val="000000"/>
      <w:sz w:val="18"/>
      <w:szCs w:val="18"/>
      <w:lang w:eastAsia="lt-LT"/>
    </w:rPr>
  </w:style>
  <w:style w:type="paragraph" w:customStyle="1" w:styleId="xl75">
    <w:name w:val="xl75"/>
    <w:basedOn w:val="prastasis"/>
    <w:rsid w:val="00F13F1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i/>
      <w:iCs/>
      <w:color w:val="000000"/>
      <w:sz w:val="18"/>
      <w:szCs w:val="18"/>
      <w:lang w:eastAsia="lt-LT"/>
    </w:rPr>
  </w:style>
  <w:style w:type="paragraph" w:customStyle="1" w:styleId="xl76">
    <w:name w:val="xl76"/>
    <w:basedOn w:val="prastasis"/>
    <w:rsid w:val="00F13F15"/>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8"/>
      <w:szCs w:val="18"/>
      <w:lang w:eastAsia="lt-LT"/>
    </w:rPr>
  </w:style>
  <w:style w:type="paragraph" w:customStyle="1" w:styleId="xl77">
    <w:name w:val="xl77"/>
    <w:basedOn w:val="prastasis"/>
    <w:rsid w:val="00F13F15"/>
    <w:pPr>
      <w:pBdr>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8"/>
      <w:szCs w:val="18"/>
      <w:lang w:eastAsia="lt-LT"/>
    </w:rPr>
  </w:style>
  <w:style w:type="paragraph" w:customStyle="1" w:styleId="xl78">
    <w:name w:val="xl78"/>
    <w:basedOn w:val="prastasis"/>
    <w:rsid w:val="00F13F15"/>
    <w:pPr>
      <w:pBdr>
        <w:top w:val="single" w:sz="4" w:space="0" w:color="auto"/>
        <w:left w:val="single" w:sz="4" w:space="14" w:color="auto"/>
        <w:bottom w:val="single" w:sz="4" w:space="0" w:color="auto"/>
      </w:pBdr>
      <w:shd w:val="clear" w:color="000000" w:fill="EDEDED"/>
      <w:spacing w:before="100" w:beforeAutospacing="1" w:after="100" w:afterAutospacing="1"/>
      <w:ind w:firstLineChars="200" w:firstLine="200"/>
      <w:textAlignment w:val="center"/>
    </w:pPr>
    <w:rPr>
      <w:color w:val="000000"/>
      <w:sz w:val="18"/>
      <w:szCs w:val="18"/>
      <w:lang w:eastAsia="lt-LT"/>
    </w:rPr>
  </w:style>
  <w:style w:type="paragraph" w:customStyle="1" w:styleId="xl79">
    <w:name w:val="xl79"/>
    <w:basedOn w:val="prastasis"/>
    <w:rsid w:val="00F13F15"/>
    <w:pPr>
      <w:pBdr>
        <w:top w:val="single" w:sz="4" w:space="0" w:color="auto"/>
        <w:bottom w:val="single" w:sz="4" w:space="0" w:color="auto"/>
        <w:right w:val="single" w:sz="4" w:space="0" w:color="auto"/>
      </w:pBdr>
      <w:shd w:val="clear" w:color="000000" w:fill="EDEDED"/>
      <w:spacing w:before="100" w:beforeAutospacing="1" w:after="100" w:afterAutospacing="1"/>
      <w:ind w:firstLineChars="200" w:firstLine="200"/>
      <w:textAlignment w:val="center"/>
    </w:pPr>
    <w:rPr>
      <w:color w:val="000000"/>
      <w:sz w:val="18"/>
      <w:szCs w:val="18"/>
      <w:lang w:eastAsia="lt-LT"/>
    </w:rPr>
  </w:style>
  <w:style w:type="paragraph" w:customStyle="1" w:styleId="xl80">
    <w:name w:val="xl80"/>
    <w:basedOn w:val="prastasis"/>
    <w:rsid w:val="00F13F15"/>
    <w:pPr>
      <w:pBdr>
        <w:top w:val="single" w:sz="4" w:space="0" w:color="auto"/>
        <w:left w:val="single" w:sz="4" w:space="14" w:color="auto"/>
        <w:bottom w:val="single" w:sz="4" w:space="0" w:color="auto"/>
        <w:right w:val="single" w:sz="4" w:space="0" w:color="auto"/>
      </w:pBdr>
      <w:shd w:val="clear" w:color="000000" w:fill="EDEDED"/>
      <w:spacing w:before="100" w:beforeAutospacing="1" w:after="100" w:afterAutospacing="1"/>
      <w:ind w:firstLineChars="200" w:firstLine="200"/>
      <w:textAlignment w:val="center"/>
    </w:pPr>
    <w:rPr>
      <w:color w:val="000000"/>
      <w:sz w:val="18"/>
      <w:szCs w:val="18"/>
      <w:lang w:eastAsia="lt-LT"/>
    </w:rPr>
  </w:style>
  <w:style w:type="paragraph" w:customStyle="1" w:styleId="xl81">
    <w:name w:val="xl81"/>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u w:val="single"/>
      <w:lang w:eastAsia="lt-LT"/>
    </w:rPr>
  </w:style>
  <w:style w:type="paragraph" w:customStyle="1" w:styleId="xl82">
    <w:name w:val="xl82"/>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3">
    <w:name w:val="xl83"/>
    <w:basedOn w:val="prastasis"/>
    <w:rsid w:val="00F13F1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color w:val="000000"/>
      <w:sz w:val="18"/>
      <w:szCs w:val="18"/>
      <w:u w:val="single"/>
      <w:lang w:eastAsia="lt-LT"/>
    </w:rPr>
  </w:style>
  <w:style w:type="paragraph" w:customStyle="1" w:styleId="xl84">
    <w:name w:val="xl84"/>
    <w:basedOn w:val="prastasis"/>
    <w:rsid w:val="00F13F1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i/>
      <w:iCs/>
      <w:color w:val="000000"/>
      <w:sz w:val="18"/>
      <w:szCs w:val="18"/>
      <w:lang w:eastAsia="lt-LT"/>
    </w:rPr>
  </w:style>
  <w:style w:type="paragraph" w:customStyle="1" w:styleId="xl85">
    <w:name w:val="xl85"/>
    <w:basedOn w:val="prastasis"/>
    <w:rsid w:val="00F13F15"/>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sz w:val="18"/>
      <w:szCs w:val="18"/>
      <w:lang w:eastAsia="lt-LT"/>
    </w:rPr>
  </w:style>
  <w:style w:type="paragraph" w:customStyle="1" w:styleId="xl86">
    <w:name w:val="xl86"/>
    <w:basedOn w:val="prastasis"/>
    <w:rsid w:val="00F13F15"/>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8"/>
      <w:szCs w:val="18"/>
      <w:lang w:eastAsia="lt-LT"/>
    </w:rPr>
  </w:style>
  <w:style w:type="paragraph" w:customStyle="1" w:styleId="xl87">
    <w:name w:val="xl87"/>
    <w:basedOn w:val="prastasis"/>
    <w:rsid w:val="00F13F15"/>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sz w:val="18"/>
      <w:szCs w:val="18"/>
      <w:lang w:eastAsia="lt-LT"/>
    </w:rPr>
  </w:style>
  <w:style w:type="paragraph" w:customStyle="1" w:styleId="xl88">
    <w:name w:val="xl88"/>
    <w:basedOn w:val="prastasis"/>
    <w:rsid w:val="00F13F15"/>
    <w:pPr>
      <w:pBdr>
        <w:top w:val="single" w:sz="4" w:space="0" w:color="auto"/>
        <w:bottom w:val="single" w:sz="4" w:space="0" w:color="auto"/>
        <w:right w:val="single" w:sz="4" w:space="0" w:color="auto"/>
      </w:pBdr>
      <w:spacing w:before="100" w:beforeAutospacing="1" w:after="100" w:afterAutospacing="1"/>
      <w:ind w:firstLineChars="200" w:firstLine="200"/>
      <w:textAlignment w:val="center"/>
    </w:pPr>
    <w:rPr>
      <w:color w:val="000000"/>
      <w:sz w:val="18"/>
      <w:szCs w:val="18"/>
      <w:lang w:eastAsia="lt-LT"/>
    </w:rPr>
  </w:style>
  <w:style w:type="paragraph" w:customStyle="1" w:styleId="xl89">
    <w:name w:val="xl89"/>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lang w:eastAsia="lt-LT"/>
    </w:rPr>
  </w:style>
  <w:style w:type="paragraph" w:customStyle="1" w:styleId="xl90">
    <w:name w:val="xl90"/>
    <w:basedOn w:val="prastasis"/>
    <w:rsid w:val="00F13F1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sz w:val="18"/>
      <w:szCs w:val="18"/>
      <w:lang w:eastAsia="lt-LT"/>
    </w:rPr>
  </w:style>
  <w:style w:type="paragraph" w:customStyle="1" w:styleId="xl91">
    <w:name w:val="xl91"/>
    <w:basedOn w:val="prastasis"/>
    <w:rsid w:val="00F13F1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8"/>
      <w:szCs w:val="18"/>
      <w:lang w:eastAsia="lt-LT"/>
    </w:rPr>
  </w:style>
  <w:style w:type="paragraph" w:customStyle="1" w:styleId="xl92">
    <w:name w:val="xl92"/>
    <w:basedOn w:val="prastasis"/>
    <w:rsid w:val="00F13F1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285">
      <w:bodyDiv w:val="1"/>
      <w:marLeft w:val="0"/>
      <w:marRight w:val="0"/>
      <w:marTop w:val="0"/>
      <w:marBottom w:val="0"/>
      <w:divBdr>
        <w:top w:val="none" w:sz="0" w:space="0" w:color="auto"/>
        <w:left w:val="none" w:sz="0" w:space="0" w:color="auto"/>
        <w:bottom w:val="none" w:sz="0" w:space="0" w:color="auto"/>
        <w:right w:val="none" w:sz="0" w:space="0" w:color="auto"/>
      </w:divBdr>
      <w:divsChild>
        <w:div w:id="2023118123">
          <w:marLeft w:val="0"/>
          <w:marRight w:val="0"/>
          <w:marTop w:val="0"/>
          <w:marBottom w:val="0"/>
          <w:divBdr>
            <w:top w:val="none" w:sz="0" w:space="0" w:color="auto"/>
            <w:left w:val="none" w:sz="0" w:space="0" w:color="auto"/>
            <w:bottom w:val="none" w:sz="0" w:space="0" w:color="auto"/>
            <w:right w:val="none" w:sz="0" w:space="0" w:color="auto"/>
          </w:divBdr>
        </w:div>
        <w:div w:id="34353836">
          <w:marLeft w:val="0"/>
          <w:marRight w:val="0"/>
          <w:marTop w:val="0"/>
          <w:marBottom w:val="0"/>
          <w:divBdr>
            <w:top w:val="none" w:sz="0" w:space="0" w:color="auto"/>
            <w:left w:val="none" w:sz="0" w:space="0" w:color="auto"/>
            <w:bottom w:val="none" w:sz="0" w:space="0" w:color="auto"/>
            <w:right w:val="none" w:sz="0" w:space="0" w:color="auto"/>
          </w:divBdr>
        </w:div>
      </w:divsChild>
    </w:div>
    <w:div w:id="92944478">
      <w:bodyDiv w:val="1"/>
      <w:marLeft w:val="0"/>
      <w:marRight w:val="0"/>
      <w:marTop w:val="0"/>
      <w:marBottom w:val="0"/>
      <w:divBdr>
        <w:top w:val="none" w:sz="0" w:space="0" w:color="auto"/>
        <w:left w:val="none" w:sz="0" w:space="0" w:color="auto"/>
        <w:bottom w:val="none" w:sz="0" w:space="0" w:color="auto"/>
        <w:right w:val="none" w:sz="0" w:space="0" w:color="auto"/>
      </w:divBdr>
      <w:divsChild>
        <w:div w:id="1049039354">
          <w:marLeft w:val="0"/>
          <w:marRight w:val="0"/>
          <w:marTop w:val="0"/>
          <w:marBottom w:val="0"/>
          <w:divBdr>
            <w:top w:val="none" w:sz="0" w:space="0" w:color="auto"/>
            <w:left w:val="none" w:sz="0" w:space="0" w:color="auto"/>
            <w:bottom w:val="none" w:sz="0" w:space="0" w:color="auto"/>
            <w:right w:val="none" w:sz="0" w:space="0" w:color="auto"/>
          </w:divBdr>
        </w:div>
        <w:div w:id="644357844">
          <w:marLeft w:val="0"/>
          <w:marRight w:val="0"/>
          <w:marTop w:val="0"/>
          <w:marBottom w:val="0"/>
          <w:divBdr>
            <w:top w:val="none" w:sz="0" w:space="0" w:color="auto"/>
            <w:left w:val="none" w:sz="0" w:space="0" w:color="auto"/>
            <w:bottom w:val="none" w:sz="0" w:space="0" w:color="auto"/>
            <w:right w:val="none" w:sz="0" w:space="0" w:color="auto"/>
          </w:divBdr>
        </w:div>
        <w:div w:id="1308703001">
          <w:marLeft w:val="0"/>
          <w:marRight w:val="0"/>
          <w:marTop w:val="0"/>
          <w:marBottom w:val="0"/>
          <w:divBdr>
            <w:top w:val="none" w:sz="0" w:space="0" w:color="auto"/>
            <w:left w:val="none" w:sz="0" w:space="0" w:color="auto"/>
            <w:bottom w:val="none" w:sz="0" w:space="0" w:color="auto"/>
            <w:right w:val="none" w:sz="0" w:space="0" w:color="auto"/>
          </w:divBdr>
        </w:div>
      </w:divsChild>
    </w:div>
    <w:div w:id="798913690">
      <w:bodyDiv w:val="1"/>
      <w:marLeft w:val="0"/>
      <w:marRight w:val="0"/>
      <w:marTop w:val="0"/>
      <w:marBottom w:val="0"/>
      <w:divBdr>
        <w:top w:val="none" w:sz="0" w:space="0" w:color="auto"/>
        <w:left w:val="none" w:sz="0" w:space="0" w:color="auto"/>
        <w:bottom w:val="none" w:sz="0" w:space="0" w:color="auto"/>
        <w:right w:val="none" w:sz="0" w:space="0" w:color="auto"/>
      </w:divBdr>
      <w:divsChild>
        <w:div w:id="1044521070">
          <w:marLeft w:val="0"/>
          <w:marRight w:val="0"/>
          <w:marTop w:val="0"/>
          <w:marBottom w:val="0"/>
          <w:divBdr>
            <w:top w:val="none" w:sz="0" w:space="0" w:color="auto"/>
            <w:left w:val="none" w:sz="0" w:space="0" w:color="auto"/>
            <w:bottom w:val="none" w:sz="0" w:space="0" w:color="auto"/>
            <w:right w:val="none" w:sz="0" w:space="0" w:color="auto"/>
          </w:divBdr>
        </w:div>
        <w:div w:id="579749936">
          <w:marLeft w:val="0"/>
          <w:marRight w:val="0"/>
          <w:marTop w:val="0"/>
          <w:marBottom w:val="0"/>
          <w:divBdr>
            <w:top w:val="none" w:sz="0" w:space="0" w:color="auto"/>
            <w:left w:val="none" w:sz="0" w:space="0" w:color="auto"/>
            <w:bottom w:val="none" w:sz="0" w:space="0" w:color="auto"/>
            <w:right w:val="none" w:sz="0" w:space="0" w:color="auto"/>
          </w:divBdr>
        </w:div>
        <w:div w:id="1877502214">
          <w:marLeft w:val="0"/>
          <w:marRight w:val="0"/>
          <w:marTop w:val="0"/>
          <w:marBottom w:val="0"/>
          <w:divBdr>
            <w:top w:val="none" w:sz="0" w:space="0" w:color="auto"/>
            <w:left w:val="none" w:sz="0" w:space="0" w:color="auto"/>
            <w:bottom w:val="none" w:sz="0" w:space="0" w:color="auto"/>
            <w:right w:val="none" w:sz="0" w:space="0" w:color="auto"/>
          </w:divBdr>
        </w:div>
      </w:divsChild>
    </w:div>
    <w:div w:id="864514450">
      <w:bodyDiv w:val="1"/>
      <w:marLeft w:val="0"/>
      <w:marRight w:val="0"/>
      <w:marTop w:val="0"/>
      <w:marBottom w:val="0"/>
      <w:divBdr>
        <w:top w:val="none" w:sz="0" w:space="0" w:color="auto"/>
        <w:left w:val="none" w:sz="0" w:space="0" w:color="auto"/>
        <w:bottom w:val="none" w:sz="0" w:space="0" w:color="auto"/>
        <w:right w:val="none" w:sz="0" w:space="0" w:color="auto"/>
      </w:divBdr>
    </w:div>
    <w:div w:id="932590227">
      <w:bodyDiv w:val="1"/>
      <w:marLeft w:val="0"/>
      <w:marRight w:val="0"/>
      <w:marTop w:val="0"/>
      <w:marBottom w:val="0"/>
      <w:divBdr>
        <w:top w:val="none" w:sz="0" w:space="0" w:color="auto"/>
        <w:left w:val="none" w:sz="0" w:space="0" w:color="auto"/>
        <w:bottom w:val="none" w:sz="0" w:space="0" w:color="auto"/>
        <w:right w:val="none" w:sz="0" w:space="0" w:color="auto"/>
      </w:divBdr>
    </w:div>
    <w:div w:id="1038625965">
      <w:bodyDiv w:val="1"/>
      <w:marLeft w:val="0"/>
      <w:marRight w:val="0"/>
      <w:marTop w:val="0"/>
      <w:marBottom w:val="0"/>
      <w:divBdr>
        <w:top w:val="none" w:sz="0" w:space="0" w:color="auto"/>
        <w:left w:val="none" w:sz="0" w:space="0" w:color="auto"/>
        <w:bottom w:val="none" w:sz="0" w:space="0" w:color="auto"/>
        <w:right w:val="none" w:sz="0" w:space="0" w:color="auto"/>
      </w:divBdr>
    </w:div>
    <w:div w:id="1179655326">
      <w:bodyDiv w:val="1"/>
      <w:marLeft w:val="0"/>
      <w:marRight w:val="0"/>
      <w:marTop w:val="0"/>
      <w:marBottom w:val="0"/>
      <w:divBdr>
        <w:top w:val="none" w:sz="0" w:space="0" w:color="auto"/>
        <w:left w:val="none" w:sz="0" w:space="0" w:color="auto"/>
        <w:bottom w:val="none" w:sz="0" w:space="0" w:color="auto"/>
        <w:right w:val="none" w:sz="0" w:space="0" w:color="auto"/>
      </w:divBdr>
      <w:divsChild>
        <w:div w:id="1851677322">
          <w:marLeft w:val="0"/>
          <w:marRight w:val="0"/>
          <w:marTop w:val="0"/>
          <w:marBottom w:val="0"/>
          <w:divBdr>
            <w:top w:val="none" w:sz="0" w:space="0" w:color="auto"/>
            <w:left w:val="none" w:sz="0" w:space="0" w:color="auto"/>
            <w:bottom w:val="none" w:sz="0" w:space="0" w:color="auto"/>
            <w:right w:val="none" w:sz="0" w:space="0" w:color="auto"/>
          </w:divBdr>
        </w:div>
        <w:div w:id="250428808">
          <w:marLeft w:val="0"/>
          <w:marRight w:val="0"/>
          <w:marTop w:val="0"/>
          <w:marBottom w:val="0"/>
          <w:divBdr>
            <w:top w:val="none" w:sz="0" w:space="0" w:color="auto"/>
            <w:left w:val="none" w:sz="0" w:space="0" w:color="auto"/>
            <w:bottom w:val="none" w:sz="0" w:space="0" w:color="auto"/>
            <w:right w:val="none" w:sz="0" w:space="0" w:color="auto"/>
          </w:divBdr>
        </w:div>
        <w:div w:id="503202120">
          <w:marLeft w:val="0"/>
          <w:marRight w:val="0"/>
          <w:marTop w:val="0"/>
          <w:marBottom w:val="0"/>
          <w:divBdr>
            <w:top w:val="none" w:sz="0" w:space="0" w:color="auto"/>
            <w:left w:val="none" w:sz="0" w:space="0" w:color="auto"/>
            <w:bottom w:val="none" w:sz="0" w:space="0" w:color="auto"/>
            <w:right w:val="none" w:sz="0" w:space="0" w:color="auto"/>
          </w:divBdr>
        </w:div>
        <w:div w:id="2124573665">
          <w:marLeft w:val="0"/>
          <w:marRight w:val="0"/>
          <w:marTop w:val="0"/>
          <w:marBottom w:val="0"/>
          <w:divBdr>
            <w:top w:val="none" w:sz="0" w:space="0" w:color="auto"/>
            <w:left w:val="none" w:sz="0" w:space="0" w:color="auto"/>
            <w:bottom w:val="none" w:sz="0" w:space="0" w:color="auto"/>
            <w:right w:val="none" w:sz="0" w:space="0" w:color="auto"/>
          </w:divBdr>
        </w:div>
        <w:div w:id="893389017">
          <w:marLeft w:val="0"/>
          <w:marRight w:val="0"/>
          <w:marTop w:val="0"/>
          <w:marBottom w:val="0"/>
          <w:divBdr>
            <w:top w:val="none" w:sz="0" w:space="0" w:color="auto"/>
            <w:left w:val="none" w:sz="0" w:space="0" w:color="auto"/>
            <w:bottom w:val="none" w:sz="0" w:space="0" w:color="auto"/>
            <w:right w:val="none" w:sz="0" w:space="0" w:color="auto"/>
          </w:divBdr>
        </w:div>
        <w:div w:id="1901210836">
          <w:marLeft w:val="0"/>
          <w:marRight w:val="0"/>
          <w:marTop w:val="0"/>
          <w:marBottom w:val="0"/>
          <w:divBdr>
            <w:top w:val="none" w:sz="0" w:space="0" w:color="auto"/>
            <w:left w:val="none" w:sz="0" w:space="0" w:color="auto"/>
            <w:bottom w:val="none" w:sz="0" w:space="0" w:color="auto"/>
            <w:right w:val="none" w:sz="0" w:space="0" w:color="auto"/>
          </w:divBdr>
        </w:div>
      </w:divsChild>
    </w:div>
    <w:div w:id="1252086908">
      <w:bodyDiv w:val="1"/>
      <w:marLeft w:val="0"/>
      <w:marRight w:val="0"/>
      <w:marTop w:val="0"/>
      <w:marBottom w:val="0"/>
      <w:divBdr>
        <w:top w:val="none" w:sz="0" w:space="0" w:color="auto"/>
        <w:left w:val="none" w:sz="0" w:space="0" w:color="auto"/>
        <w:bottom w:val="none" w:sz="0" w:space="0" w:color="auto"/>
        <w:right w:val="none" w:sz="0" w:space="0" w:color="auto"/>
      </w:divBdr>
    </w:div>
    <w:div w:id="1259632675">
      <w:bodyDiv w:val="1"/>
      <w:marLeft w:val="0"/>
      <w:marRight w:val="0"/>
      <w:marTop w:val="0"/>
      <w:marBottom w:val="0"/>
      <w:divBdr>
        <w:top w:val="none" w:sz="0" w:space="0" w:color="auto"/>
        <w:left w:val="none" w:sz="0" w:space="0" w:color="auto"/>
        <w:bottom w:val="none" w:sz="0" w:space="0" w:color="auto"/>
        <w:right w:val="none" w:sz="0" w:space="0" w:color="auto"/>
      </w:divBdr>
    </w:div>
    <w:div w:id="1472867210">
      <w:bodyDiv w:val="1"/>
      <w:marLeft w:val="0"/>
      <w:marRight w:val="0"/>
      <w:marTop w:val="0"/>
      <w:marBottom w:val="0"/>
      <w:divBdr>
        <w:top w:val="none" w:sz="0" w:space="0" w:color="auto"/>
        <w:left w:val="none" w:sz="0" w:space="0" w:color="auto"/>
        <w:bottom w:val="none" w:sz="0" w:space="0" w:color="auto"/>
        <w:right w:val="none" w:sz="0" w:space="0" w:color="auto"/>
      </w:divBdr>
      <w:divsChild>
        <w:div w:id="885874856">
          <w:marLeft w:val="0"/>
          <w:marRight w:val="0"/>
          <w:marTop w:val="0"/>
          <w:marBottom w:val="0"/>
          <w:divBdr>
            <w:top w:val="none" w:sz="0" w:space="0" w:color="auto"/>
            <w:left w:val="none" w:sz="0" w:space="0" w:color="auto"/>
            <w:bottom w:val="none" w:sz="0" w:space="0" w:color="auto"/>
            <w:right w:val="none" w:sz="0" w:space="0" w:color="auto"/>
          </w:divBdr>
        </w:div>
        <w:div w:id="910509216">
          <w:marLeft w:val="0"/>
          <w:marRight w:val="0"/>
          <w:marTop w:val="0"/>
          <w:marBottom w:val="0"/>
          <w:divBdr>
            <w:top w:val="none" w:sz="0" w:space="0" w:color="auto"/>
            <w:left w:val="none" w:sz="0" w:space="0" w:color="auto"/>
            <w:bottom w:val="none" w:sz="0" w:space="0" w:color="auto"/>
            <w:right w:val="none" w:sz="0" w:space="0" w:color="auto"/>
          </w:divBdr>
        </w:div>
        <w:div w:id="1025254481">
          <w:marLeft w:val="0"/>
          <w:marRight w:val="0"/>
          <w:marTop w:val="0"/>
          <w:marBottom w:val="0"/>
          <w:divBdr>
            <w:top w:val="none" w:sz="0" w:space="0" w:color="auto"/>
            <w:left w:val="none" w:sz="0" w:space="0" w:color="auto"/>
            <w:bottom w:val="none" w:sz="0" w:space="0" w:color="auto"/>
            <w:right w:val="none" w:sz="0" w:space="0" w:color="auto"/>
          </w:divBdr>
        </w:div>
      </w:divsChild>
    </w:div>
    <w:div w:id="1718581335">
      <w:bodyDiv w:val="1"/>
      <w:marLeft w:val="0"/>
      <w:marRight w:val="0"/>
      <w:marTop w:val="0"/>
      <w:marBottom w:val="0"/>
      <w:divBdr>
        <w:top w:val="none" w:sz="0" w:space="0" w:color="auto"/>
        <w:left w:val="none" w:sz="0" w:space="0" w:color="auto"/>
        <w:bottom w:val="none" w:sz="0" w:space="0" w:color="auto"/>
        <w:right w:val="none" w:sz="0" w:space="0" w:color="auto"/>
      </w:divBdr>
      <w:divsChild>
        <w:div w:id="1530411797">
          <w:marLeft w:val="0"/>
          <w:marRight w:val="0"/>
          <w:marTop w:val="0"/>
          <w:marBottom w:val="0"/>
          <w:divBdr>
            <w:top w:val="none" w:sz="0" w:space="0" w:color="auto"/>
            <w:left w:val="none" w:sz="0" w:space="0" w:color="auto"/>
            <w:bottom w:val="none" w:sz="0" w:space="0" w:color="auto"/>
            <w:right w:val="none" w:sz="0" w:space="0" w:color="auto"/>
          </w:divBdr>
        </w:div>
        <w:div w:id="779683678">
          <w:marLeft w:val="0"/>
          <w:marRight w:val="0"/>
          <w:marTop w:val="0"/>
          <w:marBottom w:val="0"/>
          <w:divBdr>
            <w:top w:val="none" w:sz="0" w:space="0" w:color="auto"/>
            <w:left w:val="none" w:sz="0" w:space="0" w:color="auto"/>
            <w:bottom w:val="none" w:sz="0" w:space="0" w:color="auto"/>
            <w:right w:val="none" w:sz="0" w:space="0" w:color="auto"/>
          </w:divBdr>
        </w:div>
        <w:div w:id="948467355">
          <w:marLeft w:val="0"/>
          <w:marRight w:val="0"/>
          <w:marTop w:val="0"/>
          <w:marBottom w:val="0"/>
          <w:divBdr>
            <w:top w:val="none" w:sz="0" w:space="0" w:color="auto"/>
            <w:left w:val="none" w:sz="0" w:space="0" w:color="auto"/>
            <w:bottom w:val="none" w:sz="0" w:space="0" w:color="auto"/>
            <w:right w:val="none" w:sz="0" w:space="0" w:color="auto"/>
          </w:divBdr>
        </w:div>
        <w:div w:id="1126196257">
          <w:marLeft w:val="0"/>
          <w:marRight w:val="0"/>
          <w:marTop w:val="0"/>
          <w:marBottom w:val="0"/>
          <w:divBdr>
            <w:top w:val="none" w:sz="0" w:space="0" w:color="auto"/>
            <w:left w:val="none" w:sz="0" w:space="0" w:color="auto"/>
            <w:bottom w:val="none" w:sz="0" w:space="0" w:color="auto"/>
            <w:right w:val="none" w:sz="0" w:space="0" w:color="auto"/>
          </w:divBdr>
        </w:div>
      </w:divsChild>
    </w:div>
    <w:div w:id="1730877174">
      <w:marLeft w:val="225"/>
      <w:marRight w:val="225"/>
      <w:marTop w:val="0"/>
      <w:marBottom w:val="0"/>
      <w:divBdr>
        <w:top w:val="none" w:sz="0" w:space="0" w:color="auto"/>
        <w:left w:val="none" w:sz="0" w:space="0" w:color="auto"/>
        <w:bottom w:val="none" w:sz="0" w:space="0" w:color="auto"/>
        <w:right w:val="none" w:sz="0" w:space="0" w:color="auto"/>
      </w:divBdr>
      <w:divsChild>
        <w:div w:id="1730877195">
          <w:marLeft w:val="0"/>
          <w:marRight w:val="0"/>
          <w:marTop w:val="0"/>
          <w:marBottom w:val="0"/>
          <w:divBdr>
            <w:top w:val="none" w:sz="0" w:space="0" w:color="auto"/>
            <w:left w:val="none" w:sz="0" w:space="0" w:color="auto"/>
            <w:bottom w:val="none" w:sz="0" w:space="0" w:color="auto"/>
            <w:right w:val="none" w:sz="0" w:space="0" w:color="auto"/>
          </w:divBdr>
        </w:div>
      </w:divsChild>
    </w:div>
    <w:div w:id="1730877191">
      <w:marLeft w:val="225"/>
      <w:marRight w:val="225"/>
      <w:marTop w:val="0"/>
      <w:marBottom w:val="0"/>
      <w:divBdr>
        <w:top w:val="none" w:sz="0" w:space="0" w:color="auto"/>
        <w:left w:val="none" w:sz="0" w:space="0" w:color="auto"/>
        <w:bottom w:val="none" w:sz="0" w:space="0" w:color="auto"/>
        <w:right w:val="none" w:sz="0" w:space="0" w:color="auto"/>
      </w:divBdr>
      <w:divsChild>
        <w:div w:id="1730877184">
          <w:marLeft w:val="0"/>
          <w:marRight w:val="0"/>
          <w:marTop w:val="0"/>
          <w:marBottom w:val="0"/>
          <w:divBdr>
            <w:top w:val="none" w:sz="0" w:space="0" w:color="auto"/>
            <w:left w:val="none" w:sz="0" w:space="0" w:color="auto"/>
            <w:bottom w:val="none" w:sz="0" w:space="0" w:color="auto"/>
            <w:right w:val="none" w:sz="0" w:space="0" w:color="auto"/>
          </w:divBdr>
        </w:div>
      </w:divsChild>
    </w:div>
    <w:div w:id="1730877198">
      <w:marLeft w:val="0"/>
      <w:marRight w:val="0"/>
      <w:marTop w:val="0"/>
      <w:marBottom w:val="0"/>
      <w:divBdr>
        <w:top w:val="none" w:sz="0" w:space="0" w:color="auto"/>
        <w:left w:val="none" w:sz="0" w:space="0" w:color="auto"/>
        <w:bottom w:val="none" w:sz="0" w:space="0" w:color="auto"/>
        <w:right w:val="none" w:sz="0" w:space="0" w:color="auto"/>
      </w:divBdr>
    </w:div>
    <w:div w:id="1730877199">
      <w:marLeft w:val="0"/>
      <w:marRight w:val="0"/>
      <w:marTop w:val="0"/>
      <w:marBottom w:val="0"/>
      <w:divBdr>
        <w:top w:val="none" w:sz="0" w:space="0" w:color="auto"/>
        <w:left w:val="none" w:sz="0" w:space="0" w:color="auto"/>
        <w:bottom w:val="none" w:sz="0" w:space="0" w:color="auto"/>
        <w:right w:val="none" w:sz="0" w:space="0" w:color="auto"/>
      </w:divBdr>
      <w:divsChild>
        <w:div w:id="1730877168">
          <w:marLeft w:val="0"/>
          <w:marRight w:val="0"/>
          <w:marTop w:val="0"/>
          <w:marBottom w:val="0"/>
          <w:divBdr>
            <w:top w:val="none" w:sz="0" w:space="0" w:color="auto"/>
            <w:left w:val="none" w:sz="0" w:space="0" w:color="auto"/>
            <w:bottom w:val="none" w:sz="0" w:space="0" w:color="auto"/>
            <w:right w:val="none" w:sz="0" w:space="0" w:color="auto"/>
          </w:divBdr>
        </w:div>
        <w:div w:id="1730877169">
          <w:marLeft w:val="0"/>
          <w:marRight w:val="0"/>
          <w:marTop w:val="0"/>
          <w:marBottom w:val="0"/>
          <w:divBdr>
            <w:top w:val="none" w:sz="0" w:space="0" w:color="auto"/>
            <w:left w:val="none" w:sz="0" w:space="0" w:color="auto"/>
            <w:bottom w:val="none" w:sz="0" w:space="0" w:color="auto"/>
            <w:right w:val="none" w:sz="0" w:space="0" w:color="auto"/>
          </w:divBdr>
        </w:div>
        <w:div w:id="1730877171">
          <w:marLeft w:val="0"/>
          <w:marRight w:val="0"/>
          <w:marTop w:val="0"/>
          <w:marBottom w:val="0"/>
          <w:divBdr>
            <w:top w:val="none" w:sz="0" w:space="0" w:color="auto"/>
            <w:left w:val="none" w:sz="0" w:space="0" w:color="auto"/>
            <w:bottom w:val="none" w:sz="0" w:space="0" w:color="auto"/>
            <w:right w:val="none" w:sz="0" w:space="0" w:color="auto"/>
          </w:divBdr>
        </w:div>
        <w:div w:id="1730877173">
          <w:marLeft w:val="0"/>
          <w:marRight w:val="0"/>
          <w:marTop w:val="0"/>
          <w:marBottom w:val="0"/>
          <w:divBdr>
            <w:top w:val="none" w:sz="0" w:space="0" w:color="auto"/>
            <w:left w:val="none" w:sz="0" w:space="0" w:color="auto"/>
            <w:bottom w:val="none" w:sz="0" w:space="0" w:color="auto"/>
            <w:right w:val="none" w:sz="0" w:space="0" w:color="auto"/>
          </w:divBdr>
        </w:div>
        <w:div w:id="1730877175">
          <w:marLeft w:val="0"/>
          <w:marRight w:val="0"/>
          <w:marTop w:val="0"/>
          <w:marBottom w:val="0"/>
          <w:divBdr>
            <w:top w:val="none" w:sz="0" w:space="0" w:color="auto"/>
            <w:left w:val="none" w:sz="0" w:space="0" w:color="auto"/>
            <w:bottom w:val="none" w:sz="0" w:space="0" w:color="auto"/>
            <w:right w:val="none" w:sz="0" w:space="0" w:color="auto"/>
          </w:divBdr>
        </w:div>
        <w:div w:id="1730877176">
          <w:marLeft w:val="0"/>
          <w:marRight w:val="0"/>
          <w:marTop w:val="0"/>
          <w:marBottom w:val="0"/>
          <w:divBdr>
            <w:top w:val="none" w:sz="0" w:space="0" w:color="auto"/>
            <w:left w:val="none" w:sz="0" w:space="0" w:color="auto"/>
            <w:bottom w:val="none" w:sz="0" w:space="0" w:color="auto"/>
            <w:right w:val="none" w:sz="0" w:space="0" w:color="auto"/>
          </w:divBdr>
        </w:div>
        <w:div w:id="1730877177">
          <w:marLeft w:val="0"/>
          <w:marRight w:val="0"/>
          <w:marTop w:val="0"/>
          <w:marBottom w:val="0"/>
          <w:divBdr>
            <w:top w:val="none" w:sz="0" w:space="0" w:color="auto"/>
            <w:left w:val="none" w:sz="0" w:space="0" w:color="auto"/>
            <w:bottom w:val="none" w:sz="0" w:space="0" w:color="auto"/>
            <w:right w:val="none" w:sz="0" w:space="0" w:color="auto"/>
          </w:divBdr>
        </w:div>
        <w:div w:id="1730877178">
          <w:marLeft w:val="0"/>
          <w:marRight w:val="0"/>
          <w:marTop w:val="0"/>
          <w:marBottom w:val="0"/>
          <w:divBdr>
            <w:top w:val="none" w:sz="0" w:space="0" w:color="auto"/>
            <w:left w:val="none" w:sz="0" w:space="0" w:color="auto"/>
            <w:bottom w:val="none" w:sz="0" w:space="0" w:color="auto"/>
            <w:right w:val="none" w:sz="0" w:space="0" w:color="auto"/>
          </w:divBdr>
        </w:div>
        <w:div w:id="1730877179">
          <w:marLeft w:val="0"/>
          <w:marRight w:val="0"/>
          <w:marTop w:val="0"/>
          <w:marBottom w:val="0"/>
          <w:divBdr>
            <w:top w:val="none" w:sz="0" w:space="0" w:color="auto"/>
            <w:left w:val="none" w:sz="0" w:space="0" w:color="auto"/>
            <w:bottom w:val="none" w:sz="0" w:space="0" w:color="auto"/>
            <w:right w:val="none" w:sz="0" w:space="0" w:color="auto"/>
          </w:divBdr>
        </w:div>
        <w:div w:id="1730877180">
          <w:marLeft w:val="0"/>
          <w:marRight w:val="0"/>
          <w:marTop w:val="0"/>
          <w:marBottom w:val="0"/>
          <w:divBdr>
            <w:top w:val="none" w:sz="0" w:space="0" w:color="auto"/>
            <w:left w:val="none" w:sz="0" w:space="0" w:color="auto"/>
            <w:bottom w:val="none" w:sz="0" w:space="0" w:color="auto"/>
            <w:right w:val="none" w:sz="0" w:space="0" w:color="auto"/>
          </w:divBdr>
        </w:div>
        <w:div w:id="1730877181">
          <w:marLeft w:val="0"/>
          <w:marRight w:val="0"/>
          <w:marTop w:val="0"/>
          <w:marBottom w:val="0"/>
          <w:divBdr>
            <w:top w:val="none" w:sz="0" w:space="0" w:color="auto"/>
            <w:left w:val="none" w:sz="0" w:space="0" w:color="auto"/>
            <w:bottom w:val="none" w:sz="0" w:space="0" w:color="auto"/>
            <w:right w:val="none" w:sz="0" w:space="0" w:color="auto"/>
          </w:divBdr>
        </w:div>
        <w:div w:id="1730877182">
          <w:marLeft w:val="0"/>
          <w:marRight w:val="0"/>
          <w:marTop w:val="0"/>
          <w:marBottom w:val="0"/>
          <w:divBdr>
            <w:top w:val="none" w:sz="0" w:space="0" w:color="auto"/>
            <w:left w:val="none" w:sz="0" w:space="0" w:color="auto"/>
            <w:bottom w:val="none" w:sz="0" w:space="0" w:color="auto"/>
            <w:right w:val="none" w:sz="0" w:space="0" w:color="auto"/>
          </w:divBdr>
        </w:div>
        <w:div w:id="1730877183">
          <w:marLeft w:val="0"/>
          <w:marRight w:val="0"/>
          <w:marTop w:val="0"/>
          <w:marBottom w:val="0"/>
          <w:divBdr>
            <w:top w:val="none" w:sz="0" w:space="0" w:color="auto"/>
            <w:left w:val="none" w:sz="0" w:space="0" w:color="auto"/>
            <w:bottom w:val="none" w:sz="0" w:space="0" w:color="auto"/>
            <w:right w:val="none" w:sz="0" w:space="0" w:color="auto"/>
          </w:divBdr>
        </w:div>
        <w:div w:id="1730877185">
          <w:marLeft w:val="0"/>
          <w:marRight w:val="0"/>
          <w:marTop w:val="0"/>
          <w:marBottom w:val="0"/>
          <w:divBdr>
            <w:top w:val="none" w:sz="0" w:space="0" w:color="auto"/>
            <w:left w:val="none" w:sz="0" w:space="0" w:color="auto"/>
            <w:bottom w:val="none" w:sz="0" w:space="0" w:color="auto"/>
            <w:right w:val="none" w:sz="0" w:space="0" w:color="auto"/>
          </w:divBdr>
        </w:div>
        <w:div w:id="1730877186">
          <w:marLeft w:val="0"/>
          <w:marRight w:val="0"/>
          <w:marTop w:val="0"/>
          <w:marBottom w:val="0"/>
          <w:divBdr>
            <w:top w:val="none" w:sz="0" w:space="0" w:color="auto"/>
            <w:left w:val="none" w:sz="0" w:space="0" w:color="auto"/>
            <w:bottom w:val="none" w:sz="0" w:space="0" w:color="auto"/>
            <w:right w:val="none" w:sz="0" w:space="0" w:color="auto"/>
          </w:divBdr>
        </w:div>
        <w:div w:id="1730877187">
          <w:marLeft w:val="0"/>
          <w:marRight w:val="0"/>
          <w:marTop w:val="0"/>
          <w:marBottom w:val="0"/>
          <w:divBdr>
            <w:top w:val="none" w:sz="0" w:space="0" w:color="auto"/>
            <w:left w:val="none" w:sz="0" w:space="0" w:color="auto"/>
            <w:bottom w:val="none" w:sz="0" w:space="0" w:color="auto"/>
            <w:right w:val="none" w:sz="0" w:space="0" w:color="auto"/>
          </w:divBdr>
        </w:div>
        <w:div w:id="1730877188">
          <w:marLeft w:val="0"/>
          <w:marRight w:val="0"/>
          <w:marTop w:val="0"/>
          <w:marBottom w:val="0"/>
          <w:divBdr>
            <w:top w:val="none" w:sz="0" w:space="0" w:color="auto"/>
            <w:left w:val="none" w:sz="0" w:space="0" w:color="auto"/>
            <w:bottom w:val="none" w:sz="0" w:space="0" w:color="auto"/>
            <w:right w:val="none" w:sz="0" w:space="0" w:color="auto"/>
          </w:divBdr>
        </w:div>
        <w:div w:id="1730877189">
          <w:marLeft w:val="0"/>
          <w:marRight w:val="0"/>
          <w:marTop w:val="0"/>
          <w:marBottom w:val="0"/>
          <w:divBdr>
            <w:top w:val="none" w:sz="0" w:space="0" w:color="auto"/>
            <w:left w:val="none" w:sz="0" w:space="0" w:color="auto"/>
            <w:bottom w:val="none" w:sz="0" w:space="0" w:color="auto"/>
            <w:right w:val="none" w:sz="0" w:space="0" w:color="auto"/>
          </w:divBdr>
        </w:div>
        <w:div w:id="1730877190">
          <w:marLeft w:val="0"/>
          <w:marRight w:val="0"/>
          <w:marTop w:val="0"/>
          <w:marBottom w:val="0"/>
          <w:divBdr>
            <w:top w:val="none" w:sz="0" w:space="0" w:color="auto"/>
            <w:left w:val="none" w:sz="0" w:space="0" w:color="auto"/>
            <w:bottom w:val="none" w:sz="0" w:space="0" w:color="auto"/>
            <w:right w:val="none" w:sz="0" w:space="0" w:color="auto"/>
          </w:divBdr>
        </w:div>
        <w:div w:id="1730877192">
          <w:marLeft w:val="0"/>
          <w:marRight w:val="0"/>
          <w:marTop w:val="0"/>
          <w:marBottom w:val="0"/>
          <w:divBdr>
            <w:top w:val="none" w:sz="0" w:space="0" w:color="auto"/>
            <w:left w:val="none" w:sz="0" w:space="0" w:color="auto"/>
            <w:bottom w:val="none" w:sz="0" w:space="0" w:color="auto"/>
            <w:right w:val="none" w:sz="0" w:space="0" w:color="auto"/>
          </w:divBdr>
        </w:div>
        <w:div w:id="1730877193">
          <w:marLeft w:val="0"/>
          <w:marRight w:val="0"/>
          <w:marTop w:val="0"/>
          <w:marBottom w:val="0"/>
          <w:divBdr>
            <w:top w:val="none" w:sz="0" w:space="0" w:color="auto"/>
            <w:left w:val="none" w:sz="0" w:space="0" w:color="auto"/>
            <w:bottom w:val="none" w:sz="0" w:space="0" w:color="auto"/>
            <w:right w:val="none" w:sz="0" w:space="0" w:color="auto"/>
          </w:divBdr>
        </w:div>
        <w:div w:id="1730877194">
          <w:marLeft w:val="0"/>
          <w:marRight w:val="0"/>
          <w:marTop w:val="0"/>
          <w:marBottom w:val="0"/>
          <w:divBdr>
            <w:top w:val="none" w:sz="0" w:space="0" w:color="auto"/>
            <w:left w:val="none" w:sz="0" w:space="0" w:color="auto"/>
            <w:bottom w:val="none" w:sz="0" w:space="0" w:color="auto"/>
            <w:right w:val="none" w:sz="0" w:space="0" w:color="auto"/>
          </w:divBdr>
        </w:div>
        <w:div w:id="1730877196">
          <w:marLeft w:val="0"/>
          <w:marRight w:val="0"/>
          <w:marTop w:val="0"/>
          <w:marBottom w:val="0"/>
          <w:divBdr>
            <w:top w:val="none" w:sz="0" w:space="0" w:color="auto"/>
            <w:left w:val="none" w:sz="0" w:space="0" w:color="auto"/>
            <w:bottom w:val="none" w:sz="0" w:space="0" w:color="auto"/>
            <w:right w:val="none" w:sz="0" w:space="0" w:color="auto"/>
          </w:divBdr>
        </w:div>
        <w:div w:id="1730877197">
          <w:marLeft w:val="0"/>
          <w:marRight w:val="0"/>
          <w:marTop w:val="0"/>
          <w:marBottom w:val="0"/>
          <w:divBdr>
            <w:top w:val="none" w:sz="0" w:space="0" w:color="auto"/>
            <w:left w:val="none" w:sz="0" w:space="0" w:color="auto"/>
            <w:bottom w:val="none" w:sz="0" w:space="0" w:color="auto"/>
            <w:right w:val="none" w:sz="0" w:space="0" w:color="auto"/>
          </w:divBdr>
        </w:div>
        <w:div w:id="1730877201">
          <w:marLeft w:val="0"/>
          <w:marRight w:val="0"/>
          <w:marTop w:val="0"/>
          <w:marBottom w:val="0"/>
          <w:divBdr>
            <w:top w:val="none" w:sz="0" w:space="0" w:color="auto"/>
            <w:left w:val="none" w:sz="0" w:space="0" w:color="auto"/>
            <w:bottom w:val="none" w:sz="0" w:space="0" w:color="auto"/>
            <w:right w:val="none" w:sz="0" w:space="0" w:color="auto"/>
          </w:divBdr>
        </w:div>
        <w:div w:id="1730877202">
          <w:marLeft w:val="0"/>
          <w:marRight w:val="0"/>
          <w:marTop w:val="0"/>
          <w:marBottom w:val="0"/>
          <w:divBdr>
            <w:top w:val="none" w:sz="0" w:space="0" w:color="auto"/>
            <w:left w:val="none" w:sz="0" w:space="0" w:color="auto"/>
            <w:bottom w:val="none" w:sz="0" w:space="0" w:color="auto"/>
            <w:right w:val="none" w:sz="0" w:space="0" w:color="auto"/>
          </w:divBdr>
        </w:div>
        <w:div w:id="1730877203">
          <w:marLeft w:val="0"/>
          <w:marRight w:val="0"/>
          <w:marTop w:val="0"/>
          <w:marBottom w:val="0"/>
          <w:divBdr>
            <w:top w:val="none" w:sz="0" w:space="0" w:color="auto"/>
            <w:left w:val="none" w:sz="0" w:space="0" w:color="auto"/>
            <w:bottom w:val="none" w:sz="0" w:space="0" w:color="auto"/>
            <w:right w:val="none" w:sz="0" w:space="0" w:color="auto"/>
          </w:divBdr>
        </w:div>
        <w:div w:id="1730877205">
          <w:marLeft w:val="0"/>
          <w:marRight w:val="0"/>
          <w:marTop w:val="0"/>
          <w:marBottom w:val="0"/>
          <w:divBdr>
            <w:top w:val="none" w:sz="0" w:space="0" w:color="auto"/>
            <w:left w:val="none" w:sz="0" w:space="0" w:color="auto"/>
            <w:bottom w:val="none" w:sz="0" w:space="0" w:color="auto"/>
            <w:right w:val="none" w:sz="0" w:space="0" w:color="auto"/>
          </w:divBdr>
        </w:div>
        <w:div w:id="1730877206">
          <w:marLeft w:val="0"/>
          <w:marRight w:val="0"/>
          <w:marTop w:val="0"/>
          <w:marBottom w:val="0"/>
          <w:divBdr>
            <w:top w:val="none" w:sz="0" w:space="0" w:color="auto"/>
            <w:left w:val="none" w:sz="0" w:space="0" w:color="auto"/>
            <w:bottom w:val="none" w:sz="0" w:space="0" w:color="auto"/>
            <w:right w:val="none" w:sz="0" w:space="0" w:color="auto"/>
          </w:divBdr>
        </w:div>
        <w:div w:id="1730877209">
          <w:marLeft w:val="0"/>
          <w:marRight w:val="0"/>
          <w:marTop w:val="0"/>
          <w:marBottom w:val="0"/>
          <w:divBdr>
            <w:top w:val="none" w:sz="0" w:space="0" w:color="auto"/>
            <w:left w:val="none" w:sz="0" w:space="0" w:color="auto"/>
            <w:bottom w:val="none" w:sz="0" w:space="0" w:color="auto"/>
            <w:right w:val="none" w:sz="0" w:space="0" w:color="auto"/>
          </w:divBdr>
        </w:div>
        <w:div w:id="1730877211">
          <w:marLeft w:val="0"/>
          <w:marRight w:val="0"/>
          <w:marTop w:val="0"/>
          <w:marBottom w:val="0"/>
          <w:divBdr>
            <w:top w:val="none" w:sz="0" w:space="0" w:color="auto"/>
            <w:left w:val="none" w:sz="0" w:space="0" w:color="auto"/>
            <w:bottom w:val="none" w:sz="0" w:space="0" w:color="auto"/>
            <w:right w:val="none" w:sz="0" w:space="0" w:color="auto"/>
          </w:divBdr>
        </w:div>
        <w:div w:id="1730877212">
          <w:marLeft w:val="0"/>
          <w:marRight w:val="0"/>
          <w:marTop w:val="0"/>
          <w:marBottom w:val="0"/>
          <w:divBdr>
            <w:top w:val="none" w:sz="0" w:space="0" w:color="auto"/>
            <w:left w:val="none" w:sz="0" w:space="0" w:color="auto"/>
            <w:bottom w:val="none" w:sz="0" w:space="0" w:color="auto"/>
            <w:right w:val="none" w:sz="0" w:space="0" w:color="auto"/>
          </w:divBdr>
        </w:div>
      </w:divsChild>
    </w:div>
    <w:div w:id="1730877200">
      <w:marLeft w:val="225"/>
      <w:marRight w:val="225"/>
      <w:marTop w:val="0"/>
      <w:marBottom w:val="0"/>
      <w:divBdr>
        <w:top w:val="none" w:sz="0" w:space="0" w:color="auto"/>
        <w:left w:val="none" w:sz="0" w:space="0" w:color="auto"/>
        <w:bottom w:val="none" w:sz="0" w:space="0" w:color="auto"/>
        <w:right w:val="none" w:sz="0" w:space="0" w:color="auto"/>
      </w:divBdr>
      <w:divsChild>
        <w:div w:id="1730877214">
          <w:marLeft w:val="0"/>
          <w:marRight w:val="0"/>
          <w:marTop w:val="0"/>
          <w:marBottom w:val="0"/>
          <w:divBdr>
            <w:top w:val="none" w:sz="0" w:space="0" w:color="auto"/>
            <w:left w:val="none" w:sz="0" w:space="0" w:color="auto"/>
            <w:bottom w:val="none" w:sz="0" w:space="0" w:color="auto"/>
            <w:right w:val="none" w:sz="0" w:space="0" w:color="auto"/>
          </w:divBdr>
        </w:div>
      </w:divsChild>
    </w:div>
    <w:div w:id="1730877207">
      <w:marLeft w:val="0"/>
      <w:marRight w:val="0"/>
      <w:marTop w:val="0"/>
      <w:marBottom w:val="0"/>
      <w:divBdr>
        <w:top w:val="none" w:sz="0" w:space="0" w:color="auto"/>
        <w:left w:val="none" w:sz="0" w:space="0" w:color="auto"/>
        <w:bottom w:val="none" w:sz="0" w:space="0" w:color="auto"/>
        <w:right w:val="none" w:sz="0" w:space="0" w:color="auto"/>
      </w:divBdr>
      <w:divsChild>
        <w:div w:id="1730877170">
          <w:marLeft w:val="0"/>
          <w:marRight w:val="0"/>
          <w:marTop w:val="0"/>
          <w:marBottom w:val="0"/>
          <w:divBdr>
            <w:top w:val="none" w:sz="0" w:space="0" w:color="auto"/>
            <w:left w:val="none" w:sz="0" w:space="0" w:color="auto"/>
            <w:bottom w:val="none" w:sz="0" w:space="0" w:color="auto"/>
            <w:right w:val="none" w:sz="0" w:space="0" w:color="auto"/>
          </w:divBdr>
        </w:div>
      </w:divsChild>
    </w:div>
    <w:div w:id="1730877208">
      <w:marLeft w:val="225"/>
      <w:marRight w:val="225"/>
      <w:marTop w:val="0"/>
      <w:marBottom w:val="0"/>
      <w:divBdr>
        <w:top w:val="none" w:sz="0" w:space="0" w:color="auto"/>
        <w:left w:val="none" w:sz="0" w:space="0" w:color="auto"/>
        <w:bottom w:val="none" w:sz="0" w:space="0" w:color="auto"/>
        <w:right w:val="none" w:sz="0" w:space="0" w:color="auto"/>
      </w:divBdr>
      <w:divsChild>
        <w:div w:id="1730877204">
          <w:marLeft w:val="0"/>
          <w:marRight w:val="0"/>
          <w:marTop w:val="0"/>
          <w:marBottom w:val="0"/>
          <w:divBdr>
            <w:top w:val="none" w:sz="0" w:space="0" w:color="auto"/>
            <w:left w:val="none" w:sz="0" w:space="0" w:color="auto"/>
            <w:bottom w:val="none" w:sz="0" w:space="0" w:color="auto"/>
            <w:right w:val="none" w:sz="0" w:space="0" w:color="auto"/>
          </w:divBdr>
        </w:div>
      </w:divsChild>
    </w:div>
    <w:div w:id="1730877210">
      <w:marLeft w:val="0"/>
      <w:marRight w:val="0"/>
      <w:marTop w:val="0"/>
      <w:marBottom w:val="0"/>
      <w:divBdr>
        <w:top w:val="none" w:sz="0" w:space="0" w:color="auto"/>
        <w:left w:val="none" w:sz="0" w:space="0" w:color="auto"/>
        <w:bottom w:val="none" w:sz="0" w:space="0" w:color="auto"/>
        <w:right w:val="none" w:sz="0" w:space="0" w:color="auto"/>
      </w:divBdr>
    </w:div>
    <w:div w:id="1730877213">
      <w:marLeft w:val="225"/>
      <w:marRight w:val="225"/>
      <w:marTop w:val="0"/>
      <w:marBottom w:val="0"/>
      <w:divBdr>
        <w:top w:val="none" w:sz="0" w:space="0" w:color="auto"/>
        <w:left w:val="none" w:sz="0" w:space="0" w:color="auto"/>
        <w:bottom w:val="none" w:sz="0" w:space="0" w:color="auto"/>
        <w:right w:val="none" w:sz="0" w:space="0" w:color="auto"/>
      </w:divBdr>
      <w:divsChild>
        <w:div w:id="1730877172">
          <w:marLeft w:val="0"/>
          <w:marRight w:val="0"/>
          <w:marTop w:val="0"/>
          <w:marBottom w:val="0"/>
          <w:divBdr>
            <w:top w:val="none" w:sz="0" w:space="0" w:color="auto"/>
            <w:left w:val="none" w:sz="0" w:space="0" w:color="auto"/>
            <w:bottom w:val="none" w:sz="0" w:space="0" w:color="auto"/>
            <w:right w:val="none" w:sz="0" w:space="0" w:color="auto"/>
          </w:divBdr>
        </w:div>
      </w:divsChild>
    </w:div>
    <w:div w:id="1730877215">
      <w:marLeft w:val="0"/>
      <w:marRight w:val="0"/>
      <w:marTop w:val="0"/>
      <w:marBottom w:val="0"/>
      <w:divBdr>
        <w:top w:val="none" w:sz="0" w:space="0" w:color="auto"/>
        <w:left w:val="none" w:sz="0" w:space="0" w:color="auto"/>
        <w:bottom w:val="none" w:sz="0" w:space="0" w:color="auto"/>
        <w:right w:val="none" w:sz="0" w:space="0" w:color="auto"/>
      </w:divBdr>
    </w:div>
    <w:div w:id="1730877216">
      <w:marLeft w:val="0"/>
      <w:marRight w:val="0"/>
      <w:marTop w:val="0"/>
      <w:marBottom w:val="0"/>
      <w:divBdr>
        <w:top w:val="none" w:sz="0" w:space="0" w:color="auto"/>
        <w:left w:val="none" w:sz="0" w:space="0" w:color="auto"/>
        <w:bottom w:val="none" w:sz="0" w:space="0" w:color="auto"/>
        <w:right w:val="none" w:sz="0" w:space="0" w:color="auto"/>
      </w:divBdr>
    </w:div>
    <w:div w:id="1740783806">
      <w:bodyDiv w:val="1"/>
      <w:marLeft w:val="0"/>
      <w:marRight w:val="0"/>
      <w:marTop w:val="0"/>
      <w:marBottom w:val="0"/>
      <w:divBdr>
        <w:top w:val="none" w:sz="0" w:space="0" w:color="auto"/>
        <w:left w:val="none" w:sz="0" w:space="0" w:color="auto"/>
        <w:bottom w:val="none" w:sz="0" w:space="0" w:color="auto"/>
        <w:right w:val="none" w:sz="0" w:space="0" w:color="auto"/>
      </w:divBdr>
    </w:div>
    <w:div w:id="1757550024">
      <w:bodyDiv w:val="1"/>
      <w:marLeft w:val="0"/>
      <w:marRight w:val="0"/>
      <w:marTop w:val="0"/>
      <w:marBottom w:val="0"/>
      <w:divBdr>
        <w:top w:val="none" w:sz="0" w:space="0" w:color="auto"/>
        <w:left w:val="none" w:sz="0" w:space="0" w:color="auto"/>
        <w:bottom w:val="none" w:sz="0" w:space="0" w:color="auto"/>
        <w:right w:val="none" w:sz="0" w:space="0" w:color="auto"/>
      </w:divBdr>
    </w:div>
    <w:div w:id="1768843107">
      <w:bodyDiv w:val="1"/>
      <w:marLeft w:val="0"/>
      <w:marRight w:val="0"/>
      <w:marTop w:val="0"/>
      <w:marBottom w:val="0"/>
      <w:divBdr>
        <w:top w:val="none" w:sz="0" w:space="0" w:color="auto"/>
        <w:left w:val="none" w:sz="0" w:space="0" w:color="auto"/>
        <w:bottom w:val="none" w:sz="0" w:space="0" w:color="auto"/>
        <w:right w:val="none" w:sz="0" w:space="0" w:color="auto"/>
      </w:divBdr>
      <w:divsChild>
        <w:div w:id="996608905">
          <w:marLeft w:val="0"/>
          <w:marRight w:val="0"/>
          <w:marTop w:val="0"/>
          <w:marBottom w:val="0"/>
          <w:divBdr>
            <w:top w:val="none" w:sz="0" w:space="0" w:color="auto"/>
            <w:left w:val="none" w:sz="0" w:space="0" w:color="auto"/>
            <w:bottom w:val="none" w:sz="0" w:space="0" w:color="auto"/>
            <w:right w:val="none" w:sz="0" w:space="0" w:color="auto"/>
          </w:divBdr>
        </w:div>
        <w:div w:id="347754698">
          <w:marLeft w:val="0"/>
          <w:marRight w:val="0"/>
          <w:marTop w:val="0"/>
          <w:marBottom w:val="0"/>
          <w:divBdr>
            <w:top w:val="none" w:sz="0" w:space="0" w:color="auto"/>
            <w:left w:val="none" w:sz="0" w:space="0" w:color="auto"/>
            <w:bottom w:val="none" w:sz="0" w:space="0" w:color="auto"/>
            <w:right w:val="none" w:sz="0" w:space="0" w:color="auto"/>
          </w:divBdr>
        </w:div>
        <w:div w:id="1858428146">
          <w:marLeft w:val="0"/>
          <w:marRight w:val="0"/>
          <w:marTop w:val="0"/>
          <w:marBottom w:val="0"/>
          <w:divBdr>
            <w:top w:val="none" w:sz="0" w:space="0" w:color="auto"/>
            <w:left w:val="none" w:sz="0" w:space="0" w:color="auto"/>
            <w:bottom w:val="none" w:sz="0" w:space="0" w:color="auto"/>
            <w:right w:val="none" w:sz="0" w:space="0" w:color="auto"/>
          </w:divBdr>
        </w:div>
        <w:div w:id="1320575569">
          <w:marLeft w:val="0"/>
          <w:marRight w:val="0"/>
          <w:marTop w:val="0"/>
          <w:marBottom w:val="0"/>
          <w:divBdr>
            <w:top w:val="none" w:sz="0" w:space="0" w:color="auto"/>
            <w:left w:val="none" w:sz="0" w:space="0" w:color="auto"/>
            <w:bottom w:val="none" w:sz="0" w:space="0" w:color="auto"/>
            <w:right w:val="none" w:sz="0" w:space="0" w:color="auto"/>
          </w:divBdr>
        </w:div>
      </w:divsChild>
    </w:div>
    <w:div w:id="1966304412">
      <w:bodyDiv w:val="1"/>
      <w:marLeft w:val="0"/>
      <w:marRight w:val="0"/>
      <w:marTop w:val="0"/>
      <w:marBottom w:val="0"/>
      <w:divBdr>
        <w:top w:val="none" w:sz="0" w:space="0" w:color="auto"/>
        <w:left w:val="none" w:sz="0" w:space="0" w:color="auto"/>
        <w:bottom w:val="none" w:sz="0" w:space="0" w:color="auto"/>
        <w:right w:val="none" w:sz="0" w:space="0" w:color="auto"/>
      </w:divBdr>
      <w:divsChild>
        <w:div w:id="880360473">
          <w:marLeft w:val="0"/>
          <w:marRight w:val="0"/>
          <w:marTop w:val="0"/>
          <w:marBottom w:val="0"/>
          <w:divBdr>
            <w:top w:val="none" w:sz="0" w:space="0" w:color="auto"/>
            <w:left w:val="none" w:sz="0" w:space="0" w:color="auto"/>
            <w:bottom w:val="none" w:sz="0" w:space="0" w:color="auto"/>
            <w:right w:val="none" w:sz="0" w:space="0" w:color="auto"/>
          </w:divBdr>
        </w:div>
      </w:divsChild>
    </w:div>
    <w:div w:id="1991009278">
      <w:bodyDiv w:val="1"/>
      <w:marLeft w:val="0"/>
      <w:marRight w:val="0"/>
      <w:marTop w:val="0"/>
      <w:marBottom w:val="0"/>
      <w:divBdr>
        <w:top w:val="none" w:sz="0" w:space="0" w:color="auto"/>
        <w:left w:val="none" w:sz="0" w:space="0" w:color="auto"/>
        <w:bottom w:val="none" w:sz="0" w:space="0" w:color="auto"/>
        <w:right w:val="none" w:sz="0" w:space="0" w:color="auto"/>
      </w:divBdr>
    </w:div>
    <w:div w:id="2015036042">
      <w:bodyDiv w:val="1"/>
      <w:marLeft w:val="0"/>
      <w:marRight w:val="0"/>
      <w:marTop w:val="0"/>
      <w:marBottom w:val="0"/>
      <w:divBdr>
        <w:top w:val="none" w:sz="0" w:space="0" w:color="auto"/>
        <w:left w:val="none" w:sz="0" w:space="0" w:color="auto"/>
        <w:bottom w:val="none" w:sz="0" w:space="0" w:color="auto"/>
        <w:right w:val="none" w:sz="0" w:space="0" w:color="auto"/>
      </w:divBdr>
      <w:divsChild>
        <w:div w:id="270279776">
          <w:marLeft w:val="0"/>
          <w:marRight w:val="0"/>
          <w:marTop w:val="0"/>
          <w:marBottom w:val="0"/>
          <w:divBdr>
            <w:top w:val="none" w:sz="0" w:space="0" w:color="auto"/>
            <w:left w:val="none" w:sz="0" w:space="0" w:color="auto"/>
            <w:bottom w:val="none" w:sz="0" w:space="0" w:color="auto"/>
            <w:right w:val="none" w:sz="0" w:space="0" w:color="auto"/>
          </w:divBdr>
        </w:div>
        <w:div w:id="707995823">
          <w:marLeft w:val="0"/>
          <w:marRight w:val="0"/>
          <w:marTop w:val="0"/>
          <w:marBottom w:val="0"/>
          <w:divBdr>
            <w:top w:val="none" w:sz="0" w:space="0" w:color="auto"/>
            <w:left w:val="none" w:sz="0" w:space="0" w:color="auto"/>
            <w:bottom w:val="none" w:sz="0" w:space="0" w:color="auto"/>
            <w:right w:val="none" w:sz="0" w:space="0" w:color="auto"/>
          </w:divBdr>
          <w:divsChild>
            <w:div w:id="2133278188">
              <w:marLeft w:val="0"/>
              <w:marRight w:val="0"/>
              <w:marTop w:val="0"/>
              <w:marBottom w:val="0"/>
              <w:divBdr>
                <w:top w:val="none" w:sz="0" w:space="0" w:color="auto"/>
                <w:left w:val="none" w:sz="0" w:space="0" w:color="auto"/>
                <w:bottom w:val="none" w:sz="0" w:space="0" w:color="auto"/>
                <w:right w:val="none" w:sz="0" w:space="0" w:color="auto"/>
              </w:divBdr>
            </w:div>
            <w:div w:id="1064332890">
              <w:marLeft w:val="0"/>
              <w:marRight w:val="0"/>
              <w:marTop w:val="0"/>
              <w:marBottom w:val="0"/>
              <w:divBdr>
                <w:top w:val="none" w:sz="0" w:space="0" w:color="auto"/>
                <w:left w:val="none" w:sz="0" w:space="0" w:color="auto"/>
                <w:bottom w:val="none" w:sz="0" w:space="0" w:color="auto"/>
                <w:right w:val="none" w:sz="0" w:space="0" w:color="auto"/>
              </w:divBdr>
              <w:divsChild>
                <w:div w:id="541131732">
                  <w:marLeft w:val="0"/>
                  <w:marRight w:val="0"/>
                  <w:marTop w:val="0"/>
                  <w:marBottom w:val="0"/>
                  <w:divBdr>
                    <w:top w:val="none" w:sz="0" w:space="0" w:color="auto"/>
                    <w:left w:val="none" w:sz="0" w:space="0" w:color="auto"/>
                    <w:bottom w:val="none" w:sz="0" w:space="0" w:color="auto"/>
                    <w:right w:val="none" w:sz="0" w:space="0" w:color="auto"/>
                  </w:divBdr>
                </w:div>
                <w:div w:id="1483233211">
                  <w:marLeft w:val="0"/>
                  <w:marRight w:val="0"/>
                  <w:marTop w:val="0"/>
                  <w:marBottom w:val="0"/>
                  <w:divBdr>
                    <w:top w:val="none" w:sz="0" w:space="0" w:color="auto"/>
                    <w:left w:val="none" w:sz="0" w:space="0" w:color="auto"/>
                    <w:bottom w:val="none" w:sz="0" w:space="0" w:color="auto"/>
                    <w:right w:val="none" w:sz="0" w:space="0" w:color="auto"/>
                  </w:divBdr>
                </w:div>
              </w:divsChild>
            </w:div>
            <w:div w:id="263271490">
              <w:marLeft w:val="0"/>
              <w:marRight w:val="0"/>
              <w:marTop w:val="0"/>
              <w:marBottom w:val="0"/>
              <w:divBdr>
                <w:top w:val="none" w:sz="0" w:space="0" w:color="auto"/>
                <w:left w:val="none" w:sz="0" w:space="0" w:color="auto"/>
                <w:bottom w:val="none" w:sz="0" w:space="0" w:color="auto"/>
                <w:right w:val="none" w:sz="0" w:space="0" w:color="auto"/>
              </w:divBdr>
            </w:div>
            <w:div w:id="1907180997">
              <w:marLeft w:val="0"/>
              <w:marRight w:val="0"/>
              <w:marTop w:val="0"/>
              <w:marBottom w:val="0"/>
              <w:divBdr>
                <w:top w:val="none" w:sz="0" w:space="0" w:color="auto"/>
                <w:left w:val="none" w:sz="0" w:space="0" w:color="auto"/>
                <w:bottom w:val="none" w:sz="0" w:space="0" w:color="auto"/>
                <w:right w:val="none" w:sz="0" w:space="0" w:color="auto"/>
              </w:divBdr>
            </w:div>
          </w:divsChild>
        </w:div>
        <w:div w:id="156594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imnazija\AppData\Roaming\Microsoft\Excel\Knyga1%20(version%203).xlsb"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imnazija\AppData\Roaming\Microsoft\Excel\Knyga1%20(version%203).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_rels/chart6.xml.rels><?xml version="1.0" encoding="UTF-8" standalone="yes"?>
<Relationships xmlns="http://schemas.openxmlformats.org/package/2006/relationships"><Relationship Id="rId2" Type="http://schemas.openxmlformats.org/officeDocument/2006/relationships/oleObject" Target="file:///C:\Users\Gimnazija\AppData\Roaming\Microsoft\Excel\Knyga1%20(version%203).xlsb"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Lapas2!$B$11</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Lapas2!$C$10:$G$10</c:f>
              <c:numCache>
                <c:formatCode>General</c:formatCode>
                <c:ptCount val="5"/>
                <c:pt idx="0">
                  <c:v>2023</c:v>
                </c:pt>
                <c:pt idx="1">
                  <c:v>2024</c:v>
                </c:pt>
                <c:pt idx="2">
                  <c:v>2025</c:v>
                </c:pt>
                <c:pt idx="3">
                  <c:v>2026</c:v>
                </c:pt>
                <c:pt idx="4">
                  <c:v>2027</c:v>
                </c:pt>
              </c:numCache>
            </c:numRef>
          </c:cat>
          <c:val>
            <c:numRef>
              <c:f>Lapas2!$C$11:$G$11</c:f>
              <c:numCache>
                <c:formatCode>General</c:formatCode>
                <c:ptCount val="5"/>
                <c:pt idx="0">
                  <c:v>94</c:v>
                </c:pt>
                <c:pt idx="1">
                  <c:v>95</c:v>
                </c:pt>
                <c:pt idx="2">
                  <c:v>95</c:v>
                </c:pt>
                <c:pt idx="3">
                  <c:v>96</c:v>
                </c:pt>
                <c:pt idx="4">
                  <c:v>97</c:v>
                </c:pt>
              </c:numCache>
            </c:numRef>
          </c:val>
          <c:smooth val="0"/>
          <c:extLst>
            <c:ext xmlns:c16="http://schemas.microsoft.com/office/drawing/2014/chart" uri="{C3380CC4-5D6E-409C-BE32-E72D297353CC}">
              <c16:uniqueId val="{00000000-73D7-4BF4-808A-92A4AA3DBA39}"/>
            </c:ext>
          </c:extLst>
        </c:ser>
        <c:ser>
          <c:idx val="1"/>
          <c:order val="1"/>
          <c:tx>
            <c:strRef>
              <c:f>Lapas2!$B$12</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Lapas2!$C$10:$G$10</c:f>
              <c:numCache>
                <c:formatCode>General</c:formatCode>
                <c:ptCount val="5"/>
                <c:pt idx="0">
                  <c:v>2023</c:v>
                </c:pt>
                <c:pt idx="1">
                  <c:v>2024</c:v>
                </c:pt>
                <c:pt idx="2">
                  <c:v>2025</c:v>
                </c:pt>
                <c:pt idx="3">
                  <c:v>2026</c:v>
                </c:pt>
                <c:pt idx="4">
                  <c:v>2027</c:v>
                </c:pt>
              </c:numCache>
            </c:numRef>
          </c:cat>
          <c:val>
            <c:numRef>
              <c:f>Lapas2!$C$12:$G$12</c:f>
              <c:numCache>
                <c:formatCode>General</c:formatCode>
                <c:ptCount val="5"/>
                <c:pt idx="0">
                  <c:v>94</c:v>
                </c:pt>
                <c:pt idx="1">
                  <c:v>96</c:v>
                </c:pt>
              </c:numCache>
            </c:numRef>
          </c:val>
          <c:smooth val="0"/>
          <c:extLst>
            <c:ext xmlns:c16="http://schemas.microsoft.com/office/drawing/2014/chart" uri="{C3380CC4-5D6E-409C-BE32-E72D297353CC}">
              <c16:uniqueId val="{00000001-73D7-4BF4-808A-92A4AA3DBA39}"/>
            </c:ext>
          </c:extLst>
        </c:ser>
        <c:dLbls>
          <c:showLegendKey val="0"/>
          <c:showVal val="0"/>
          <c:showCatName val="0"/>
          <c:showSerName val="0"/>
          <c:showPercent val="0"/>
          <c:showBubbleSize val="0"/>
        </c:dLbls>
        <c:marker val="1"/>
        <c:smooth val="0"/>
        <c:axId val="380472336"/>
        <c:axId val="292891824"/>
      </c:lineChart>
      <c:catAx>
        <c:axId val="38047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2891824"/>
        <c:crosses val="autoZero"/>
        <c:auto val="1"/>
        <c:lblAlgn val="ctr"/>
        <c:lblOffset val="100"/>
        <c:noMultiLvlLbl val="0"/>
      </c:catAx>
      <c:valAx>
        <c:axId val="29289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0472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Lapas2!$B$21</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Lapas2!$C$20:$G$20</c:f>
              <c:numCache>
                <c:formatCode>General</c:formatCode>
                <c:ptCount val="5"/>
                <c:pt idx="0">
                  <c:v>2023</c:v>
                </c:pt>
                <c:pt idx="1">
                  <c:v>2024</c:v>
                </c:pt>
                <c:pt idx="2">
                  <c:v>2025</c:v>
                </c:pt>
                <c:pt idx="3">
                  <c:v>2026</c:v>
                </c:pt>
                <c:pt idx="4">
                  <c:v>2027</c:v>
                </c:pt>
              </c:numCache>
            </c:numRef>
          </c:cat>
          <c:val>
            <c:numRef>
              <c:f>Lapas2!$C$21:$G$21</c:f>
              <c:numCache>
                <c:formatCode>General</c:formatCode>
                <c:ptCount val="5"/>
                <c:pt idx="0">
                  <c:v>22</c:v>
                </c:pt>
                <c:pt idx="1">
                  <c:v>21.5</c:v>
                </c:pt>
                <c:pt idx="2">
                  <c:v>21.5</c:v>
                </c:pt>
                <c:pt idx="3">
                  <c:v>21</c:v>
                </c:pt>
                <c:pt idx="4">
                  <c:v>16</c:v>
                </c:pt>
              </c:numCache>
            </c:numRef>
          </c:val>
          <c:smooth val="0"/>
          <c:extLst>
            <c:ext xmlns:c16="http://schemas.microsoft.com/office/drawing/2014/chart" uri="{C3380CC4-5D6E-409C-BE32-E72D297353CC}">
              <c16:uniqueId val="{00000000-1062-46E9-BFF6-52C21E74E0FD}"/>
            </c:ext>
          </c:extLst>
        </c:ser>
        <c:ser>
          <c:idx val="1"/>
          <c:order val="1"/>
          <c:tx>
            <c:strRef>
              <c:f>Lapas2!$B$22</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Lapas2!$C$20:$G$20</c:f>
              <c:numCache>
                <c:formatCode>General</c:formatCode>
                <c:ptCount val="5"/>
                <c:pt idx="0">
                  <c:v>2023</c:v>
                </c:pt>
                <c:pt idx="1">
                  <c:v>2024</c:v>
                </c:pt>
                <c:pt idx="2">
                  <c:v>2025</c:v>
                </c:pt>
                <c:pt idx="3">
                  <c:v>2026</c:v>
                </c:pt>
                <c:pt idx="4">
                  <c:v>2027</c:v>
                </c:pt>
              </c:numCache>
            </c:numRef>
          </c:cat>
          <c:val>
            <c:numRef>
              <c:f>Lapas2!$C$22:$G$22</c:f>
              <c:numCache>
                <c:formatCode>General</c:formatCode>
                <c:ptCount val="5"/>
                <c:pt idx="0">
                  <c:v>10.1</c:v>
                </c:pt>
                <c:pt idx="1">
                  <c:v>9.6999999999999993</c:v>
                </c:pt>
              </c:numCache>
            </c:numRef>
          </c:val>
          <c:smooth val="0"/>
          <c:extLst>
            <c:ext xmlns:c16="http://schemas.microsoft.com/office/drawing/2014/chart" uri="{C3380CC4-5D6E-409C-BE32-E72D297353CC}">
              <c16:uniqueId val="{00000001-1062-46E9-BFF6-52C21E74E0FD}"/>
            </c:ext>
          </c:extLst>
        </c:ser>
        <c:dLbls>
          <c:showLegendKey val="0"/>
          <c:showVal val="0"/>
          <c:showCatName val="0"/>
          <c:showSerName val="0"/>
          <c:showPercent val="0"/>
          <c:showBubbleSize val="0"/>
        </c:dLbls>
        <c:marker val="1"/>
        <c:smooth val="0"/>
        <c:axId val="386853792"/>
        <c:axId val="386860064"/>
      </c:lineChart>
      <c:catAx>
        <c:axId val="38685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60064"/>
        <c:crosses val="autoZero"/>
        <c:auto val="1"/>
        <c:lblAlgn val="ctr"/>
        <c:lblOffset val="100"/>
        <c:noMultiLvlLbl val="0"/>
      </c:catAx>
      <c:valAx>
        <c:axId val="38686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3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'[Knyga1 (version 3).xlsb]Lapas2'!$B$31</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'[Knyga1 (version 3).xlsb]Lapas2'!$C$30:$G$30</c:f>
              <c:numCache>
                <c:formatCode>General</c:formatCode>
                <c:ptCount val="5"/>
                <c:pt idx="0">
                  <c:v>2023</c:v>
                </c:pt>
                <c:pt idx="1">
                  <c:v>2024</c:v>
                </c:pt>
                <c:pt idx="2">
                  <c:v>2025</c:v>
                </c:pt>
                <c:pt idx="3">
                  <c:v>2026</c:v>
                </c:pt>
                <c:pt idx="4">
                  <c:v>2027</c:v>
                </c:pt>
              </c:numCache>
            </c:numRef>
          </c:cat>
          <c:val>
            <c:numRef>
              <c:f>'[Knyga1 (version 3).xlsb]Lapas2'!$C$31:$G$31</c:f>
              <c:numCache>
                <c:formatCode>General</c:formatCode>
                <c:ptCount val="5"/>
                <c:pt idx="0">
                  <c:v>54</c:v>
                </c:pt>
                <c:pt idx="1">
                  <c:v>54</c:v>
                </c:pt>
                <c:pt idx="2">
                  <c:v>90</c:v>
                </c:pt>
                <c:pt idx="3">
                  <c:v>100</c:v>
                </c:pt>
                <c:pt idx="4">
                  <c:v>100</c:v>
                </c:pt>
              </c:numCache>
            </c:numRef>
          </c:val>
          <c:smooth val="0"/>
          <c:extLst>
            <c:ext xmlns:c16="http://schemas.microsoft.com/office/drawing/2014/chart" uri="{C3380CC4-5D6E-409C-BE32-E72D297353CC}">
              <c16:uniqueId val="{00000000-018A-4A9C-955C-D8CF876D83E5}"/>
            </c:ext>
          </c:extLst>
        </c:ser>
        <c:ser>
          <c:idx val="1"/>
          <c:order val="1"/>
          <c:tx>
            <c:strRef>
              <c:f>'[Knyga1 (version 3).xlsb]Lapas2'!$B$32</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'[Knyga1 (version 3).xlsb]Lapas2'!$C$30:$G$30</c:f>
              <c:numCache>
                <c:formatCode>General</c:formatCode>
                <c:ptCount val="5"/>
                <c:pt idx="0">
                  <c:v>2023</c:v>
                </c:pt>
                <c:pt idx="1">
                  <c:v>2024</c:v>
                </c:pt>
                <c:pt idx="2">
                  <c:v>2025</c:v>
                </c:pt>
                <c:pt idx="3">
                  <c:v>2026</c:v>
                </c:pt>
                <c:pt idx="4">
                  <c:v>2027</c:v>
                </c:pt>
              </c:numCache>
            </c:numRef>
          </c:cat>
          <c:val>
            <c:numRef>
              <c:f>'[Knyga1 (version 3).xlsb]Lapas2'!$C$32:$G$32</c:f>
              <c:numCache>
                <c:formatCode>General</c:formatCode>
                <c:ptCount val="5"/>
                <c:pt idx="0">
                  <c:v>100</c:v>
                </c:pt>
                <c:pt idx="1">
                  <c:v>98</c:v>
                </c:pt>
              </c:numCache>
            </c:numRef>
          </c:val>
          <c:smooth val="0"/>
          <c:extLst>
            <c:ext xmlns:c16="http://schemas.microsoft.com/office/drawing/2014/chart" uri="{C3380CC4-5D6E-409C-BE32-E72D297353CC}">
              <c16:uniqueId val="{00000001-018A-4A9C-955C-D8CF876D83E5}"/>
            </c:ext>
          </c:extLst>
        </c:ser>
        <c:dLbls>
          <c:showLegendKey val="0"/>
          <c:showVal val="0"/>
          <c:showCatName val="0"/>
          <c:showSerName val="0"/>
          <c:showPercent val="0"/>
          <c:showBubbleSize val="0"/>
        </c:dLbls>
        <c:marker val="1"/>
        <c:smooth val="0"/>
        <c:axId val="386853008"/>
        <c:axId val="386858104"/>
      </c:lineChart>
      <c:catAx>
        <c:axId val="38685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8104"/>
        <c:crosses val="autoZero"/>
        <c:auto val="1"/>
        <c:lblAlgn val="ctr"/>
        <c:lblOffset val="100"/>
        <c:noMultiLvlLbl val="0"/>
      </c:catAx>
      <c:valAx>
        <c:axId val="386858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3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Lapas2!$B$46</c:f>
              <c:strCache>
                <c:ptCount val="1"/>
                <c:pt idx="0">
                  <c:v>Planuota reikšmė (koef.)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Lapas2!$C$45:$G$45</c:f>
              <c:numCache>
                <c:formatCode>General</c:formatCode>
                <c:ptCount val="5"/>
                <c:pt idx="0">
                  <c:v>2023</c:v>
                </c:pt>
                <c:pt idx="1">
                  <c:v>2024</c:v>
                </c:pt>
                <c:pt idx="2">
                  <c:v>2025</c:v>
                </c:pt>
                <c:pt idx="3">
                  <c:v>2026</c:v>
                </c:pt>
                <c:pt idx="4">
                  <c:v>2027</c:v>
                </c:pt>
              </c:numCache>
            </c:numRef>
          </c:cat>
          <c:val>
            <c:numRef>
              <c:f>Lapas2!$C$46:$G$46</c:f>
              <c:numCache>
                <c:formatCode>General</c:formatCode>
                <c:ptCount val="5"/>
                <c:pt idx="0">
                  <c:v>0.5</c:v>
                </c:pt>
                <c:pt idx="1">
                  <c:v>0.5</c:v>
                </c:pt>
                <c:pt idx="2">
                  <c:v>0.5</c:v>
                </c:pt>
                <c:pt idx="3">
                  <c:v>0.5</c:v>
                </c:pt>
                <c:pt idx="4">
                  <c:v>0.5</c:v>
                </c:pt>
              </c:numCache>
            </c:numRef>
          </c:val>
          <c:smooth val="0"/>
          <c:extLst>
            <c:ext xmlns:c16="http://schemas.microsoft.com/office/drawing/2014/chart" uri="{C3380CC4-5D6E-409C-BE32-E72D297353CC}">
              <c16:uniqueId val="{00000000-6D6C-4BD6-AF2C-2E2FD800C612}"/>
            </c:ext>
          </c:extLst>
        </c:ser>
        <c:ser>
          <c:idx val="1"/>
          <c:order val="1"/>
          <c:tx>
            <c:strRef>
              <c:f>Lapas2!$B$47</c:f>
              <c:strCache>
                <c:ptCount val="1"/>
                <c:pt idx="0">
                  <c:v>Faktinė reikšmė (koef.)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Lapas2!$C$45:$G$45</c:f>
              <c:numCache>
                <c:formatCode>General</c:formatCode>
                <c:ptCount val="5"/>
                <c:pt idx="0">
                  <c:v>2023</c:v>
                </c:pt>
                <c:pt idx="1">
                  <c:v>2024</c:v>
                </c:pt>
                <c:pt idx="2">
                  <c:v>2025</c:v>
                </c:pt>
                <c:pt idx="3">
                  <c:v>2026</c:v>
                </c:pt>
                <c:pt idx="4">
                  <c:v>2027</c:v>
                </c:pt>
              </c:numCache>
            </c:numRef>
          </c:cat>
          <c:val>
            <c:numRef>
              <c:f>Lapas2!$C$47:$G$47</c:f>
              <c:numCache>
                <c:formatCode>General</c:formatCode>
                <c:ptCount val="5"/>
                <c:pt idx="0">
                  <c:v>0.5</c:v>
                </c:pt>
                <c:pt idx="1">
                  <c:v>0.5</c:v>
                </c:pt>
              </c:numCache>
            </c:numRef>
          </c:val>
          <c:smooth val="0"/>
          <c:extLst>
            <c:ext xmlns:c16="http://schemas.microsoft.com/office/drawing/2014/chart" uri="{C3380CC4-5D6E-409C-BE32-E72D297353CC}">
              <c16:uniqueId val="{00000001-6D6C-4BD6-AF2C-2E2FD800C612}"/>
            </c:ext>
          </c:extLst>
        </c:ser>
        <c:dLbls>
          <c:showLegendKey val="0"/>
          <c:showVal val="0"/>
          <c:showCatName val="0"/>
          <c:showSerName val="0"/>
          <c:showPercent val="0"/>
          <c:showBubbleSize val="0"/>
        </c:dLbls>
        <c:marker val="1"/>
        <c:smooth val="0"/>
        <c:axId val="386855360"/>
        <c:axId val="386854184"/>
      </c:lineChart>
      <c:catAx>
        <c:axId val="38685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4184"/>
        <c:crosses val="autoZero"/>
        <c:auto val="1"/>
        <c:lblAlgn val="ctr"/>
        <c:lblOffset val="100"/>
        <c:noMultiLvlLbl val="0"/>
      </c:catAx>
      <c:valAx>
        <c:axId val="386854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5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Lapas2!$A$38</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Lapas2!$B$37:$F$37</c:f>
              <c:numCache>
                <c:formatCode>General</c:formatCode>
                <c:ptCount val="5"/>
                <c:pt idx="0">
                  <c:v>2023</c:v>
                </c:pt>
                <c:pt idx="1">
                  <c:v>2024</c:v>
                </c:pt>
                <c:pt idx="2">
                  <c:v>2025</c:v>
                </c:pt>
                <c:pt idx="3">
                  <c:v>2026</c:v>
                </c:pt>
                <c:pt idx="4">
                  <c:v>2027</c:v>
                </c:pt>
              </c:numCache>
            </c:numRef>
          </c:cat>
          <c:val>
            <c:numRef>
              <c:f>Lapas2!$B$38:$F$38</c:f>
              <c:numCache>
                <c:formatCode>General</c:formatCode>
                <c:ptCount val="5"/>
                <c:pt idx="0">
                  <c:v>42</c:v>
                </c:pt>
                <c:pt idx="1">
                  <c:v>42.5</c:v>
                </c:pt>
                <c:pt idx="2">
                  <c:v>42.5</c:v>
                </c:pt>
                <c:pt idx="3">
                  <c:v>42.8</c:v>
                </c:pt>
                <c:pt idx="4">
                  <c:v>43</c:v>
                </c:pt>
              </c:numCache>
            </c:numRef>
          </c:val>
          <c:smooth val="0"/>
          <c:extLst>
            <c:ext xmlns:c16="http://schemas.microsoft.com/office/drawing/2014/chart" uri="{C3380CC4-5D6E-409C-BE32-E72D297353CC}">
              <c16:uniqueId val="{00000000-D3E9-44E0-BA11-0D2E97A8C440}"/>
            </c:ext>
          </c:extLst>
        </c:ser>
        <c:ser>
          <c:idx val="1"/>
          <c:order val="1"/>
          <c:tx>
            <c:strRef>
              <c:f>Lapas2!$A$39</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Lapas2!$B$37:$F$37</c:f>
              <c:numCache>
                <c:formatCode>General</c:formatCode>
                <c:ptCount val="5"/>
                <c:pt idx="0">
                  <c:v>2023</c:v>
                </c:pt>
                <c:pt idx="1">
                  <c:v>2024</c:v>
                </c:pt>
                <c:pt idx="2">
                  <c:v>2025</c:v>
                </c:pt>
                <c:pt idx="3">
                  <c:v>2026</c:v>
                </c:pt>
                <c:pt idx="4">
                  <c:v>2027</c:v>
                </c:pt>
              </c:numCache>
            </c:numRef>
          </c:cat>
          <c:val>
            <c:numRef>
              <c:f>Lapas2!$B$39:$F$39</c:f>
              <c:numCache>
                <c:formatCode>General</c:formatCode>
                <c:ptCount val="5"/>
                <c:pt idx="0">
                  <c:v>42</c:v>
                </c:pt>
                <c:pt idx="1">
                  <c:v>34.53</c:v>
                </c:pt>
              </c:numCache>
            </c:numRef>
          </c:val>
          <c:smooth val="0"/>
          <c:extLst>
            <c:ext xmlns:c16="http://schemas.microsoft.com/office/drawing/2014/chart" uri="{C3380CC4-5D6E-409C-BE32-E72D297353CC}">
              <c16:uniqueId val="{00000001-D3E9-44E0-BA11-0D2E97A8C440}"/>
            </c:ext>
          </c:extLst>
        </c:ser>
        <c:dLbls>
          <c:showLegendKey val="0"/>
          <c:showVal val="0"/>
          <c:showCatName val="0"/>
          <c:showSerName val="0"/>
          <c:showPercent val="0"/>
          <c:showBubbleSize val="0"/>
        </c:dLbls>
        <c:marker val="1"/>
        <c:smooth val="0"/>
        <c:axId val="386858888"/>
        <c:axId val="386854968"/>
      </c:lineChart>
      <c:catAx>
        <c:axId val="386858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4968"/>
        <c:crosses val="autoZero"/>
        <c:auto val="1"/>
        <c:lblAlgn val="ctr"/>
        <c:lblOffset val="100"/>
        <c:noMultiLvlLbl val="0"/>
      </c:catAx>
      <c:valAx>
        <c:axId val="386854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88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Lapas2!$B$56</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Lapas2!$C$55:$G$55</c:f>
              <c:numCache>
                <c:formatCode>General</c:formatCode>
                <c:ptCount val="5"/>
                <c:pt idx="0">
                  <c:v>2023</c:v>
                </c:pt>
                <c:pt idx="1">
                  <c:v>2024</c:v>
                </c:pt>
                <c:pt idx="2">
                  <c:v>2025</c:v>
                </c:pt>
                <c:pt idx="3">
                  <c:v>2026</c:v>
                </c:pt>
                <c:pt idx="4">
                  <c:v>2027</c:v>
                </c:pt>
              </c:numCache>
            </c:numRef>
          </c:cat>
          <c:val>
            <c:numRef>
              <c:f>Lapas2!$C$56:$G$56</c:f>
              <c:numCache>
                <c:formatCode>General</c:formatCode>
                <c:ptCount val="5"/>
                <c:pt idx="0">
                  <c:v>29</c:v>
                </c:pt>
                <c:pt idx="1">
                  <c:v>29</c:v>
                </c:pt>
                <c:pt idx="2">
                  <c:v>29</c:v>
                </c:pt>
                <c:pt idx="3">
                  <c:v>29</c:v>
                </c:pt>
                <c:pt idx="4">
                  <c:v>29</c:v>
                </c:pt>
              </c:numCache>
            </c:numRef>
          </c:val>
          <c:smooth val="0"/>
          <c:extLst>
            <c:ext xmlns:c16="http://schemas.microsoft.com/office/drawing/2014/chart" uri="{C3380CC4-5D6E-409C-BE32-E72D297353CC}">
              <c16:uniqueId val="{00000000-A555-4186-A02B-33BD8EAA1FD5}"/>
            </c:ext>
          </c:extLst>
        </c:ser>
        <c:ser>
          <c:idx val="1"/>
          <c:order val="1"/>
          <c:tx>
            <c:strRef>
              <c:f>Lapas2!$B$57</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Lapas2!$C$55:$G$55</c:f>
              <c:numCache>
                <c:formatCode>General</c:formatCode>
                <c:ptCount val="5"/>
                <c:pt idx="0">
                  <c:v>2023</c:v>
                </c:pt>
                <c:pt idx="1">
                  <c:v>2024</c:v>
                </c:pt>
                <c:pt idx="2">
                  <c:v>2025</c:v>
                </c:pt>
                <c:pt idx="3">
                  <c:v>2026</c:v>
                </c:pt>
                <c:pt idx="4">
                  <c:v>2027</c:v>
                </c:pt>
              </c:numCache>
            </c:numRef>
          </c:cat>
          <c:val>
            <c:numRef>
              <c:f>Lapas2!$C$57:$G$57</c:f>
              <c:numCache>
                <c:formatCode>General</c:formatCode>
                <c:ptCount val="5"/>
                <c:pt idx="0">
                  <c:v>29</c:v>
                </c:pt>
                <c:pt idx="1">
                  <c:v>29</c:v>
                </c:pt>
              </c:numCache>
            </c:numRef>
          </c:val>
          <c:smooth val="0"/>
          <c:extLst>
            <c:ext xmlns:c16="http://schemas.microsoft.com/office/drawing/2014/chart" uri="{C3380CC4-5D6E-409C-BE32-E72D297353CC}">
              <c16:uniqueId val="{00000001-A555-4186-A02B-33BD8EAA1FD5}"/>
            </c:ext>
          </c:extLst>
        </c:ser>
        <c:dLbls>
          <c:showLegendKey val="0"/>
          <c:showVal val="0"/>
          <c:showCatName val="0"/>
          <c:showSerName val="0"/>
          <c:showPercent val="0"/>
          <c:showBubbleSize val="0"/>
        </c:dLbls>
        <c:marker val="1"/>
        <c:smooth val="0"/>
        <c:axId val="386857320"/>
        <c:axId val="386768112"/>
      </c:lineChart>
      <c:catAx>
        <c:axId val="386857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768112"/>
        <c:crosses val="autoZero"/>
        <c:auto val="1"/>
        <c:lblAlgn val="ctr"/>
        <c:lblOffset val="100"/>
        <c:noMultiLvlLbl val="0"/>
      </c:catAx>
      <c:valAx>
        <c:axId val="38676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7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5A4E-C304-41E5-B6EA-C774A86E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3936</Words>
  <Characters>28258</Characters>
  <Application>Microsoft Office Word</Application>
  <DocSecurity>0</DocSecurity>
  <Lines>235</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VILKAVIŠKIO RAJONO SAVIVALDYBĖS BIUDŽETINIŲ, VIEŠŲJŲ ĮSTAIGŲ, KONTROLIUOJAMŲ ĮMONIŲ IR ORGANIZACIJŲ VADOVŲ ATASKAITŲ RENGIMO TVARKOS APRAŠO IR ATASKAITŲ PATEIKIMO GRAFIKO PATVIRTINIMO</vt:lpstr>
      <vt:lpstr>DĖL VILKAVIŠKIO RAJONO SAVIVALDYBĖS BIUDŽETINIŲ, VIEŠŲJŲ ĮSTAIGŲ, KONTROLIUOJAMŲ ĮMONIŲ IR ORGANIZACIJŲ VADOVŲ ATASKAITŲ RENGIMO TVARKOS APRAŠO IR ATASKAITŲ PATEIKIMO GRAFIKO PATVIRTINIMO</vt:lpstr>
    </vt:vector>
  </TitlesOfParts>
  <Manager>2016-01-29</Manager>
  <Company>Hewlett-Packard Company</Company>
  <LinksUpToDate>false</LinksUpToDate>
  <CharactersWithSpaces>32130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VILKAVIŠKIO RAJONO SAVIVALDYBĖS BIUDŽETINIŲ, VIEŠŲJŲ ĮSTAIGŲ, KONTROLIUOJAMŲ ĮMONIŲ IR ORGANIZACIJŲ VADOVŲ ATASKAITŲ RENGIMO TVARKOS APRAŠO IR ATASKAITŲ PATEIKIMO GRAFIKO PATVIRTINIMO</dc:title>
  <dc:subject>B-TS-269</dc:subject>
  <dc:creator>VILKAVIŠKIO RAJONO SAVIVALDYBĖS TARYBA</dc:creator>
  <cp:lastModifiedBy>Gimnazija</cp:lastModifiedBy>
  <cp:revision>2</cp:revision>
  <cp:lastPrinted>2022-12-27T10:07:00Z</cp:lastPrinted>
  <dcterms:created xsi:type="dcterms:W3CDTF">2025-02-26T14:12:00Z</dcterms:created>
  <dcterms:modified xsi:type="dcterms:W3CDTF">2025-02-26T14:12:00Z</dcterms:modified>
  <cp:category>SPRENDIMAS</cp:category>
</cp:coreProperties>
</file>